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E536" w14:textId="77777777" w:rsidR="00DB649E" w:rsidRPr="00D5145D" w:rsidRDefault="00DB649E" w:rsidP="00DB649E">
      <w:pPr>
        <w:rPr>
          <w:rFonts w:asciiTheme="minorHAnsi" w:hAnsiTheme="minorHAnsi"/>
          <w:szCs w:val="24"/>
        </w:rPr>
      </w:pPr>
    </w:p>
    <w:p w14:paraId="215414D2" w14:textId="77777777" w:rsidR="00DB649E" w:rsidRPr="00D5145D" w:rsidRDefault="00DB649E" w:rsidP="00DB649E">
      <w:pPr>
        <w:rPr>
          <w:rFonts w:asciiTheme="minorHAnsi" w:hAnsiTheme="minorHAnsi"/>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2373"/>
        <w:gridCol w:w="6351"/>
        <w:gridCol w:w="2046"/>
      </w:tblGrid>
      <w:tr w:rsidR="000362B3" w:rsidRPr="00D5145D" w14:paraId="2960365A" w14:textId="77777777" w:rsidTr="00B842E3">
        <w:tc>
          <w:tcPr>
            <w:tcW w:w="2376" w:type="dxa"/>
          </w:tcPr>
          <w:p w14:paraId="31AF8BB7" w14:textId="4423588C" w:rsidR="000362B3" w:rsidRPr="00D5145D" w:rsidRDefault="000A0565" w:rsidP="000362B3">
            <w:pPr>
              <w:jc w:val="center"/>
              <w:rPr>
                <w:rFonts w:asciiTheme="minorHAnsi" w:hAnsiTheme="minorHAnsi"/>
                <w:szCs w:val="24"/>
              </w:rPr>
            </w:pPr>
            <w:r w:rsidRPr="00DF0001">
              <w:rPr>
                <w:noProof/>
                <w:szCs w:val="24"/>
              </w:rPr>
              <w:drawing>
                <wp:inline distT="0" distB="0" distL="0" distR="0" wp14:anchorId="52372795" wp14:editId="28F66389">
                  <wp:extent cx="1314450" cy="456938"/>
                  <wp:effectExtent l="0" t="0" r="0" b="635"/>
                  <wp:docPr id="2" name="Picture 2" descr="C:\Users\tdonal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onald\Desktop\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205" cy="457201"/>
                          </a:xfrm>
                          <a:prstGeom prst="rect">
                            <a:avLst/>
                          </a:prstGeom>
                          <a:noFill/>
                          <a:ln>
                            <a:noFill/>
                          </a:ln>
                        </pic:spPr>
                      </pic:pic>
                    </a:graphicData>
                  </a:graphic>
                </wp:inline>
              </w:drawing>
            </w:r>
          </w:p>
        </w:tc>
        <w:tc>
          <w:tcPr>
            <w:tcW w:w="6521" w:type="dxa"/>
            <w:shd w:val="clear" w:color="auto" w:fill="92D050"/>
            <w:vAlign w:val="center"/>
          </w:tcPr>
          <w:p w14:paraId="6438F760" w14:textId="40E0E826" w:rsidR="00C76610" w:rsidRDefault="00C76610" w:rsidP="00277F3B">
            <w:pPr>
              <w:jc w:val="center"/>
              <w:rPr>
                <w:rFonts w:asciiTheme="minorHAnsi" w:hAnsiTheme="minorHAnsi"/>
                <w:b/>
                <w:color w:val="FFFFFF" w:themeColor="background1"/>
                <w:sz w:val="44"/>
                <w:szCs w:val="44"/>
              </w:rPr>
            </w:pPr>
            <w:r>
              <w:rPr>
                <w:rFonts w:asciiTheme="minorHAnsi" w:hAnsiTheme="minorHAnsi"/>
                <w:b/>
                <w:color w:val="FFFFFF" w:themeColor="background1"/>
                <w:sz w:val="44"/>
                <w:szCs w:val="44"/>
              </w:rPr>
              <w:t xml:space="preserve">Local </w:t>
            </w:r>
            <w:r w:rsidR="00277F3B" w:rsidRPr="006C54DB">
              <w:rPr>
                <w:rFonts w:asciiTheme="minorHAnsi" w:hAnsiTheme="minorHAnsi"/>
                <w:b/>
                <w:color w:val="FFFFFF" w:themeColor="background1"/>
                <w:sz w:val="44"/>
                <w:szCs w:val="44"/>
              </w:rPr>
              <w:t xml:space="preserve">Lettings </w:t>
            </w:r>
            <w:r w:rsidR="000362B3" w:rsidRPr="006C54DB">
              <w:rPr>
                <w:rFonts w:asciiTheme="minorHAnsi" w:hAnsiTheme="minorHAnsi"/>
                <w:b/>
                <w:color w:val="FFFFFF" w:themeColor="background1"/>
                <w:sz w:val="44"/>
                <w:szCs w:val="44"/>
              </w:rPr>
              <w:t>Policy</w:t>
            </w:r>
          </w:p>
          <w:p w14:paraId="368FB3A3" w14:textId="11B2068D" w:rsidR="000362B3" w:rsidRPr="006C54DB" w:rsidRDefault="00AD2201" w:rsidP="00277F3B">
            <w:pPr>
              <w:jc w:val="center"/>
              <w:rPr>
                <w:rFonts w:asciiTheme="minorHAnsi" w:hAnsiTheme="minorHAnsi"/>
                <w:b/>
                <w:color w:val="FFFFFF" w:themeColor="background1"/>
                <w:sz w:val="44"/>
                <w:szCs w:val="44"/>
              </w:rPr>
            </w:pPr>
            <w:r>
              <w:rPr>
                <w:rFonts w:asciiTheme="minorHAnsi" w:hAnsiTheme="minorHAnsi"/>
                <w:b/>
                <w:color w:val="FFFFFF" w:themeColor="background1"/>
                <w:sz w:val="44"/>
                <w:szCs w:val="44"/>
              </w:rPr>
              <w:t>Wakefield and district outliers</w:t>
            </w:r>
          </w:p>
        </w:tc>
        <w:tc>
          <w:tcPr>
            <w:tcW w:w="2119" w:type="dxa"/>
            <w:shd w:val="clear" w:color="auto" w:fill="92D050"/>
            <w:vAlign w:val="center"/>
          </w:tcPr>
          <w:p w14:paraId="7AA8660F" w14:textId="0F844344" w:rsidR="000362B3" w:rsidRPr="006C54DB" w:rsidRDefault="000362B3" w:rsidP="000362B3">
            <w:pPr>
              <w:jc w:val="center"/>
              <w:rPr>
                <w:rFonts w:asciiTheme="minorHAnsi" w:hAnsiTheme="minorHAnsi"/>
                <w:i/>
                <w:color w:val="FFFFFF" w:themeColor="background1"/>
                <w:sz w:val="22"/>
                <w:szCs w:val="22"/>
              </w:rPr>
            </w:pPr>
          </w:p>
        </w:tc>
      </w:tr>
      <w:tr w:rsidR="000362B3" w:rsidRPr="00D5145D" w14:paraId="02FB436B" w14:textId="77777777" w:rsidTr="00B842E3">
        <w:tc>
          <w:tcPr>
            <w:tcW w:w="2376" w:type="dxa"/>
          </w:tcPr>
          <w:p w14:paraId="6B11D98F" w14:textId="77777777" w:rsidR="000362B3" w:rsidRPr="00D5145D" w:rsidRDefault="000362B3" w:rsidP="000362B3">
            <w:pPr>
              <w:rPr>
                <w:rFonts w:asciiTheme="minorHAnsi" w:hAnsiTheme="minorHAnsi"/>
                <w:szCs w:val="24"/>
              </w:rPr>
            </w:pPr>
            <w:r w:rsidRPr="00D5145D">
              <w:rPr>
                <w:rFonts w:asciiTheme="minorHAnsi" w:hAnsiTheme="minorHAnsi"/>
                <w:szCs w:val="24"/>
              </w:rPr>
              <w:t>Version:</w:t>
            </w:r>
          </w:p>
          <w:p w14:paraId="26D42C00" w14:textId="77777777" w:rsidR="000362B3" w:rsidRPr="00D5145D" w:rsidRDefault="000362B3" w:rsidP="000362B3">
            <w:pPr>
              <w:rPr>
                <w:rFonts w:asciiTheme="minorHAnsi" w:hAnsiTheme="minorHAnsi"/>
                <w:szCs w:val="24"/>
              </w:rPr>
            </w:pPr>
            <w:r w:rsidRPr="00D5145D">
              <w:rPr>
                <w:rFonts w:asciiTheme="minorHAnsi" w:hAnsiTheme="minorHAnsi"/>
                <w:szCs w:val="24"/>
              </w:rPr>
              <w:t>Created by:</w:t>
            </w:r>
          </w:p>
          <w:p w14:paraId="34A8C8F4" w14:textId="77777777" w:rsidR="000362B3" w:rsidRPr="00D5145D" w:rsidRDefault="000362B3" w:rsidP="000362B3">
            <w:pPr>
              <w:rPr>
                <w:rFonts w:asciiTheme="minorHAnsi" w:hAnsiTheme="minorHAnsi"/>
                <w:szCs w:val="24"/>
              </w:rPr>
            </w:pPr>
            <w:r w:rsidRPr="00D5145D">
              <w:rPr>
                <w:rFonts w:asciiTheme="minorHAnsi" w:hAnsiTheme="minorHAnsi"/>
                <w:szCs w:val="24"/>
              </w:rPr>
              <w:t>Approved by:</w:t>
            </w:r>
          </w:p>
          <w:p w14:paraId="4A320105" w14:textId="77777777" w:rsidR="000362B3" w:rsidRPr="00D5145D" w:rsidRDefault="000362B3" w:rsidP="000362B3">
            <w:pPr>
              <w:rPr>
                <w:rFonts w:asciiTheme="minorHAnsi" w:hAnsiTheme="minorHAnsi"/>
                <w:szCs w:val="24"/>
              </w:rPr>
            </w:pPr>
            <w:r w:rsidRPr="00D5145D">
              <w:rPr>
                <w:rFonts w:asciiTheme="minorHAnsi" w:hAnsiTheme="minorHAnsi"/>
                <w:szCs w:val="24"/>
              </w:rPr>
              <w:t>Effective Date:</w:t>
            </w:r>
          </w:p>
          <w:p w14:paraId="7B5E087C" w14:textId="77777777" w:rsidR="000362B3" w:rsidRPr="00D5145D" w:rsidRDefault="000D3C02" w:rsidP="000D3C02">
            <w:pPr>
              <w:rPr>
                <w:rFonts w:asciiTheme="minorHAnsi" w:hAnsiTheme="minorHAnsi"/>
                <w:szCs w:val="24"/>
              </w:rPr>
            </w:pPr>
            <w:r>
              <w:rPr>
                <w:rFonts w:asciiTheme="minorHAnsi" w:hAnsiTheme="minorHAnsi"/>
                <w:szCs w:val="24"/>
              </w:rPr>
              <w:t>Next</w:t>
            </w:r>
            <w:r w:rsidR="000362B3" w:rsidRPr="00D5145D">
              <w:rPr>
                <w:rFonts w:asciiTheme="minorHAnsi" w:hAnsiTheme="minorHAnsi"/>
                <w:szCs w:val="24"/>
              </w:rPr>
              <w:t xml:space="preserve"> Review Date:</w:t>
            </w:r>
          </w:p>
        </w:tc>
        <w:tc>
          <w:tcPr>
            <w:tcW w:w="8640" w:type="dxa"/>
            <w:gridSpan w:val="2"/>
          </w:tcPr>
          <w:p w14:paraId="61787DEC" w14:textId="207FB290" w:rsidR="000362B3" w:rsidRPr="00D5145D" w:rsidRDefault="005D6A61" w:rsidP="000362B3">
            <w:pPr>
              <w:rPr>
                <w:rFonts w:asciiTheme="minorHAnsi" w:hAnsiTheme="minorHAnsi"/>
                <w:szCs w:val="24"/>
              </w:rPr>
            </w:pPr>
            <w:r>
              <w:rPr>
                <w:rFonts w:asciiTheme="minorHAnsi" w:hAnsiTheme="minorHAnsi"/>
                <w:szCs w:val="24"/>
              </w:rPr>
              <w:t>1.</w:t>
            </w:r>
            <w:r w:rsidR="00D344D1">
              <w:rPr>
                <w:rFonts w:asciiTheme="minorHAnsi" w:hAnsiTheme="minorHAnsi"/>
                <w:szCs w:val="24"/>
              </w:rPr>
              <w:t>2</w:t>
            </w:r>
          </w:p>
          <w:p w14:paraId="6683B0C2" w14:textId="5DF1FB4D" w:rsidR="000362B3" w:rsidRPr="00D5145D" w:rsidRDefault="00C76610" w:rsidP="000362B3">
            <w:pPr>
              <w:rPr>
                <w:rFonts w:asciiTheme="minorHAnsi" w:hAnsiTheme="minorHAnsi"/>
                <w:szCs w:val="24"/>
              </w:rPr>
            </w:pPr>
            <w:r>
              <w:rPr>
                <w:rFonts w:asciiTheme="minorHAnsi" w:hAnsiTheme="minorHAnsi"/>
                <w:szCs w:val="24"/>
              </w:rPr>
              <w:t xml:space="preserve">Zuzka </w:t>
            </w:r>
            <w:r w:rsidR="00D344D1">
              <w:rPr>
                <w:rFonts w:asciiTheme="minorHAnsi" w:hAnsiTheme="minorHAnsi"/>
                <w:szCs w:val="24"/>
              </w:rPr>
              <w:t>Downing, Area Manager</w:t>
            </w:r>
          </w:p>
          <w:p w14:paraId="25DAAB55" w14:textId="5ACB3A0B" w:rsidR="0041742E" w:rsidRDefault="00E93F3F" w:rsidP="008013ED">
            <w:pPr>
              <w:rPr>
                <w:rFonts w:asciiTheme="minorHAnsi" w:hAnsiTheme="minorHAnsi"/>
                <w:szCs w:val="24"/>
              </w:rPr>
            </w:pPr>
            <w:r>
              <w:rPr>
                <w:rFonts w:asciiTheme="minorHAnsi" w:hAnsiTheme="minorHAnsi"/>
                <w:szCs w:val="24"/>
              </w:rPr>
              <w:t>Customer Services Management Team</w:t>
            </w:r>
          </w:p>
          <w:p w14:paraId="55B3DE09" w14:textId="021241D4" w:rsidR="00D30B30" w:rsidRDefault="00E93F3F" w:rsidP="008013ED">
            <w:pPr>
              <w:rPr>
                <w:rFonts w:asciiTheme="minorHAnsi" w:hAnsiTheme="minorHAnsi"/>
                <w:szCs w:val="24"/>
              </w:rPr>
            </w:pPr>
            <w:r>
              <w:rPr>
                <w:rFonts w:asciiTheme="minorHAnsi" w:hAnsiTheme="minorHAnsi"/>
                <w:szCs w:val="24"/>
              </w:rPr>
              <w:t>1</w:t>
            </w:r>
            <w:r w:rsidR="00C23B28">
              <w:rPr>
                <w:rFonts w:asciiTheme="minorHAnsi" w:hAnsiTheme="minorHAnsi"/>
                <w:szCs w:val="24"/>
              </w:rPr>
              <w:t>8/02/2022</w:t>
            </w:r>
          </w:p>
          <w:p w14:paraId="31BEE245" w14:textId="07ECA057" w:rsidR="00D30B30" w:rsidRPr="00D5145D" w:rsidRDefault="00D30B30">
            <w:pPr>
              <w:rPr>
                <w:rFonts w:asciiTheme="minorHAnsi" w:hAnsiTheme="minorHAnsi"/>
                <w:szCs w:val="24"/>
              </w:rPr>
            </w:pPr>
            <w:r>
              <w:rPr>
                <w:rFonts w:asciiTheme="minorHAnsi" w:hAnsiTheme="minorHAnsi"/>
                <w:szCs w:val="24"/>
              </w:rPr>
              <w:t>1</w:t>
            </w:r>
            <w:r w:rsidR="00C23B28">
              <w:rPr>
                <w:rFonts w:asciiTheme="minorHAnsi" w:hAnsiTheme="minorHAnsi"/>
                <w:szCs w:val="24"/>
              </w:rPr>
              <w:t>8</w:t>
            </w:r>
            <w:r w:rsidR="00E93F3F">
              <w:rPr>
                <w:rFonts w:asciiTheme="minorHAnsi" w:hAnsiTheme="minorHAnsi"/>
                <w:szCs w:val="24"/>
              </w:rPr>
              <w:t>/02/202</w:t>
            </w:r>
            <w:r w:rsidR="00C23B28">
              <w:rPr>
                <w:rFonts w:asciiTheme="minorHAnsi" w:hAnsiTheme="minorHAnsi"/>
                <w:szCs w:val="24"/>
              </w:rPr>
              <w:t>4</w:t>
            </w:r>
          </w:p>
        </w:tc>
      </w:tr>
    </w:tbl>
    <w:p w14:paraId="7C5604E2" w14:textId="7059E8B1" w:rsidR="000362B3" w:rsidRPr="00D5145D" w:rsidRDefault="000362B3" w:rsidP="000362B3">
      <w:pPr>
        <w:rPr>
          <w:rFonts w:asciiTheme="minorHAnsi" w:hAnsiTheme="minorHAnsi"/>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none" w:sz="0" w:space="0" w:color="auto"/>
        </w:tblBorders>
        <w:tblLook w:val="04A0" w:firstRow="1" w:lastRow="0" w:firstColumn="1" w:lastColumn="0" w:noHBand="0" w:noVBand="1"/>
      </w:tblPr>
      <w:tblGrid>
        <w:gridCol w:w="2325"/>
        <w:gridCol w:w="8445"/>
      </w:tblGrid>
      <w:tr w:rsidR="000362B3" w:rsidRPr="00D5145D" w14:paraId="283E2581" w14:textId="77777777" w:rsidTr="00090449">
        <w:tc>
          <w:tcPr>
            <w:tcW w:w="2376" w:type="dxa"/>
            <w:shd w:val="clear" w:color="auto" w:fill="92D050"/>
          </w:tcPr>
          <w:p w14:paraId="0B0647F8" w14:textId="77777777" w:rsidR="000362B3" w:rsidRPr="00D5145D" w:rsidRDefault="000362B3" w:rsidP="000362B3">
            <w:pPr>
              <w:jc w:val="center"/>
              <w:rPr>
                <w:rFonts w:asciiTheme="minorHAnsi" w:hAnsiTheme="minorHAnsi"/>
                <w:b/>
                <w:color w:val="FFFFFF" w:themeColor="background1"/>
                <w:szCs w:val="24"/>
              </w:rPr>
            </w:pPr>
            <w:r w:rsidRPr="00D5145D">
              <w:rPr>
                <w:rFonts w:asciiTheme="minorHAnsi" w:hAnsiTheme="minorHAnsi"/>
                <w:b/>
                <w:color w:val="FFFFFF" w:themeColor="background1"/>
                <w:szCs w:val="24"/>
              </w:rPr>
              <w:t>1</w:t>
            </w:r>
          </w:p>
        </w:tc>
        <w:tc>
          <w:tcPr>
            <w:tcW w:w="8640" w:type="dxa"/>
            <w:shd w:val="clear" w:color="auto" w:fill="92D050"/>
          </w:tcPr>
          <w:p w14:paraId="0B03B4DC" w14:textId="77777777" w:rsidR="000362B3" w:rsidRPr="00D5145D" w:rsidRDefault="000362B3" w:rsidP="000362B3">
            <w:pPr>
              <w:rPr>
                <w:rFonts w:asciiTheme="minorHAnsi" w:hAnsiTheme="minorHAnsi"/>
                <w:b/>
                <w:color w:val="FFFFFF" w:themeColor="background1"/>
                <w:szCs w:val="24"/>
              </w:rPr>
            </w:pPr>
            <w:r w:rsidRPr="00D5145D">
              <w:rPr>
                <w:rFonts w:asciiTheme="minorHAnsi" w:hAnsiTheme="minorHAnsi"/>
                <w:b/>
                <w:color w:val="FFFFFF" w:themeColor="background1"/>
                <w:szCs w:val="24"/>
              </w:rPr>
              <w:t>Overall purpose</w:t>
            </w:r>
          </w:p>
        </w:tc>
      </w:tr>
      <w:tr w:rsidR="000362B3" w:rsidRPr="00D5145D" w14:paraId="0170FE7D" w14:textId="77777777" w:rsidTr="00090449">
        <w:tc>
          <w:tcPr>
            <w:tcW w:w="11016" w:type="dxa"/>
            <w:gridSpan w:val="2"/>
          </w:tcPr>
          <w:p w14:paraId="69D0F446" w14:textId="7EE40056" w:rsidR="00C76610" w:rsidRDefault="00C76610" w:rsidP="000362B3">
            <w:pPr>
              <w:autoSpaceDE w:val="0"/>
              <w:autoSpaceDN w:val="0"/>
              <w:adjustRightInd w:val="0"/>
              <w:rPr>
                <w:rFonts w:asciiTheme="minorHAnsi" w:hAnsiTheme="minorHAnsi"/>
                <w:szCs w:val="24"/>
              </w:rPr>
            </w:pPr>
            <w:r>
              <w:rPr>
                <w:rFonts w:asciiTheme="minorHAnsi" w:hAnsiTheme="minorHAnsi"/>
                <w:szCs w:val="24"/>
              </w:rPr>
              <w:t xml:space="preserve">This policy sets out the principles behind the </w:t>
            </w:r>
            <w:r w:rsidR="00AD2201">
              <w:rPr>
                <w:rFonts w:asciiTheme="minorHAnsi" w:hAnsiTheme="minorHAnsi"/>
                <w:szCs w:val="24"/>
              </w:rPr>
              <w:t>implementation</w:t>
            </w:r>
            <w:r>
              <w:rPr>
                <w:rFonts w:asciiTheme="minorHAnsi" w:hAnsiTheme="minorHAnsi"/>
                <w:szCs w:val="24"/>
              </w:rPr>
              <w:t xml:space="preserve"> of a Local Lettings Policy </w:t>
            </w:r>
            <w:r w:rsidR="00A63510">
              <w:rPr>
                <w:rFonts w:asciiTheme="minorHAnsi" w:hAnsiTheme="minorHAnsi"/>
                <w:szCs w:val="24"/>
              </w:rPr>
              <w:t xml:space="preserve">(LLP) </w:t>
            </w:r>
            <w:r>
              <w:rPr>
                <w:rFonts w:asciiTheme="minorHAnsi" w:hAnsiTheme="minorHAnsi"/>
                <w:szCs w:val="24"/>
              </w:rPr>
              <w:t xml:space="preserve">for </w:t>
            </w:r>
            <w:r w:rsidR="00AD2201">
              <w:rPr>
                <w:rFonts w:asciiTheme="minorHAnsi" w:hAnsiTheme="minorHAnsi"/>
                <w:szCs w:val="24"/>
              </w:rPr>
              <w:t>areas that fall under Wakefield district council where Leeds Federated do not currently have a stock profile</w:t>
            </w:r>
            <w:r>
              <w:rPr>
                <w:rFonts w:asciiTheme="minorHAnsi" w:hAnsiTheme="minorHAnsi"/>
                <w:szCs w:val="24"/>
              </w:rPr>
              <w:t>, the reasons why it is of benefit, and the guidelines of the Local Lettings Policy.</w:t>
            </w:r>
          </w:p>
          <w:p w14:paraId="542A18A0" w14:textId="6DFFA1B1" w:rsidR="00C76610" w:rsidRDefault="00C76610" w:rsidP="000362B3">
            <w:pPr>
              <w:autoSpaceDE w:val="0"/>
              <w:autoSpaceDN w:val="0"/>
              <w:adjustRightInd w:val="0"/>
              <w:rPr>
                <w:rFonts w:asciiTheme="minorHAnsi" w:hAnsiTheme="minorHAnsi"/>
                <w:szCs w:val="24"/>
              </w:rPr>
            </w:pPr>
          </w:p>
          <w:p w14:paraId="616DA468" w14:textId="77777777" w:rsidR="000362B3" w:rsidRPr="00D5145D" w:rsidRDefault="000362B3" w:rsidP="000362B3">
            <w:pPr>
              <w:autoSpaceDE w:val="0"/>
              <w:autoSpaceDN w:val="0"/>
              <w:adjustRightInd w:val="0"/>
              <w:rPr>
                <w:rFonts w:asciiTheme="minorHAnsi" w:hAnsiTheme="minorHAnsi"/>
                <w:szCs w:val="24"/>
              </w:rPr>
            </w:pPr>
            <w:r w:rsidRPr="00D5145D">
              <w:rPr>
                <w:rFonts w:asciiTheme="minorHAnsi" w:hAnsiTheme="minorHAnsi"/>
                <w:szCs w:val="24"/>
              </w:rPr>
              <w:t>The Policy supports Leeds Fed’s vision of ‘Building Futures Together’ and is aligned with the following goals of the Association:</w:t>
            </w:r>
          </w:p>
          <w:p w14:paraId="464918D3" w14:textId="77777777" w:rsidR="000362B3" w:rsidRPr="00D5145D" w:rsidRDefault="000362B3" w:rsidP="000362B3">
            <w:pPr>
              <w:autoSpaceDE w:val="0"/>
              <w:autoSpaceDN w:val="0"/>
              <w:adjustRightInd w:val="0"/>
              <w:rPr>
                <w:rFonts w:asciiTheme="minorHAnsi" w:hAnsiTheme="minorHAnsi"/>
                <w:szCs w:val="24"/>
              </w:rPr>
            </w:pPr>
          </w:p>
          <w:p w14:paraId="7D4A37D5" w14:textId="1EBC3360" w:rsidR="000362B3" w:rsidRPr="00D5145D" w:rsidRDefault="000362B3" w:rsidP="000362B3">
            <w:pPr>
              <w:autoSpaceDE w:val="0"/>
              <w:autoSpaceDN w:val="0"/>
              <w:adjustRightInd w:val="0"/>
              <w:rPr>
                <w:rFonts w:asciiTheme="minorHAnsi" w:hAnsiTheme="minorHAnsi"/>
                <w:b/>
                <w:szCs w:val="24"/>
              </w:rPr>
            </w:pPr>
            <w:r w:rsidRPr="00D5145D">
              <w:rPr>
                <w:rFonts w:asciiTheme="minorHAnsi" w:hAnsiTheme="minorHAnsi"/>
                <w:b/>
                <w:szCs w:val="24"/>
              </w:rPr>
              <w:t>Goal 1:</w:t>
            </w:r>
            <w:r w:rsidRPr="00D5145D">
              <w:rPr>
                <w:rFonts w:asciiTheme="minorHAnsi" w:hAnsiTheme="minorHAnsi"/>
                <w:b/>
                <w:szCs w:val="24"/>
              </w:rPr>
              <w:tab/>
            </w:r>
            <w:r w:rsidRPr="00D5145D">
              <w:rPr>
                <w:rFonts w:asciiTheme="minorHAnsi" w:hAnsiTheme="minorHAnsi"/>
                <w:b/>
                <w:szCs w:val="24"/>
              </w:rPr>
              <w:tab/>
            </w:r>
            <w:r w:rsidR="002A23EC">
              <w:rPr>
                <w:rFonts w:asciiTheme="minorHAnsi" w:hAnsiTheme="minorHAnsi"/>
                <w:b/>
                <w:szCs w:val="24"/>
              </w:rPr>
              <w:t>Sustain</w:t>
            </w:r>
            <w:r w:rsidR="00C23E34">
              <w:rPr>
                <w:rFonts w:asciiTheme="minorHAnsi" w:hAnsiTheme="minorHAnsi"/>
                <w:b/>
                <w:szCs w:val="24"/>
              </w:rPr>
              <w:t xml:space="preserve"> </w:t>
            </w:r>
          </w:p>
          <w:p w14:paraId="234CD6C6" w14:textId="3CC9228D" w:rsidR="000362B3" w:rsidRPr="00D5145D" w:rsidRDefault="000362B3" w:rsidP="000362B3">
            <w:pPr>
              <w:autoSpaceDE w:val="0"/>
              <w:autoSpaceDN w:val="0"/>
              <w:adjustRightInd w:val="0"/>
              <w:rPr>
                <w:rFonts w:asciiTheme="minorHAnsi" w:hAnsiTheme="minorHAnsi"/>
                <w:b/>
                <w:szCs w:val="24"/>
              </w:rPr>
            </w:pPr>
            <w:r w:rsidRPr="00D5145D">
              <w:rPr>
                <w:rFonts w:asciiTheme="minorHAnsi" w:hAnsiTheme="minorHAnsi"/>
                <w:b/>
                <w:szCs w:val="24"/>
              </w:rPr>
              <w:t>Goal 2:</w:t>
            </w:r>
            <w:r w:rsidRPr="00D5145D">
              <w:rPr>
                <w:rFonts w:asciiTheme="minorHAnsi" w:hAnsiTheme="minorHAnsi"/>
                <w:b/>
                <w:szCs w:val="24"/>
              </w:rPr>
              <w:tab/>
            </w:r>
            <w:r w:rsidRPr="00D5145D">
              <w:rPr>
                <w:rFonts w:asciiTheme="minorHAnsi" w:hAnsiTheme="minorHAnsi"/>
                <w:b/>
                <w:szCs w:val="24"/>
              </w:rPr>
              <w:tab/>
            </w:r>
            <w:r w:rsidR="002A23EC">
              <w:rPr>
                <w:rFonts w:asciiTheme="minorHAnsi" w:hAnsiTheme="minorHAnsi"/>
                <w:b/>
                <w:szCs w:val="24"/>
              </w:rPr>
              <w:t>Innovate</w:t>
            </w:r>
          </w:p>
          <w:p w14:paraId="619351EE" w14:textId="52F30196" w:rsidR="000362B3" w:rsidRPr="00D5145D" w:rsidRDefault="000362B3" w:rsidP="000362B3">
            <w:pPr>
              <w:autoSpaceDE w:val="0"/>
              <w:autoSpaceDN w:val="0"/>
              <w:adjustRightInd w:val="0"/>
              <w:rPr>
                <w:rFonts w:asciiTheme="minorHAnsi" w:hAnsiTheme="minorHAnsi"/>
                <w:b/>
                <w:szCs w:val="24"/>
              </w:rPr>
            </w:pPr>
            <w:r w:rsidRPr="00D5145D">
              <w:rPr>
                <w:rFonts w:asciiTheme="minorHAnsi" w:hAnsiTheme="minorHAnsi"/>
                <w:b/>
                <w:szCs w:val="24"/>
              </w:rPr>
              <w:t>Goal 3:</w:t>
            </w:r>
            <w:r w:rsidRPr="00D5145D">
              <w:rPr>
                <w:rFonts w:asciiTheme="minorHAnsi" w:hAnsiTheme="minorHAnsi"/>
                <w:b/>
                <w:szCs w:val="24"/>
              </w:rPr>
              <w:tab/>
            </w:r>
            <w:r w:rsidRPr="00D5145D">
              <w:rPr>
                <w:rFonts w:asciiTheme="minorHAnsi" w:hAnsiTheme="minorHAnsi"/>
                <w:b/>
                <w:szCs w:val="24"/>
              </w:rPr>
              <w:tab/>
            </w:r>
            <w:r w:rsidR="002A23EC">
              <w:rPr>
                <w:rFonts w:asciiTheme="minorHAnsi" w:hAnsiTheme="minorHAnsi"/>
                <w:b/>
                <w:szCs w:val="24"/>
              </w:rPr>
              <w:t>Grow</w:t>
            </w:r>
          </w:p>
          <w:p w14:paraId="6BBB09B9" w14:textId="77777777" w:rsidR="000362B3" w:rsidRPr="00D5145D" w:rsidRDefault="000362B3" w:rsidP="00D5145D">
            <w:pPr>
              <w:ind w:left="720"/>
              <w:rPr>
                <w:rFonts w:asciiTheme="minorHAnsi" w:hAnsiTheme="minorHAnsi"/>
                <w:b/>
                <w:szCs w:val="24"/>
              </w:rPr>
            </w:pPr>
          </w:p>
        </w:tc>
      </w:tr>
    </w:tbl>
    <w:p w14:paraId="66DFB3AF" w14:textId="77777777" w:rsidR="000362B3" w:rsidRDefault="000362B3" w:rsidP="000362B3">
      <w:pPr>
        <w:rPr>
          <w:rFonts w:asciiTheme="minorHAnsi" w:hAnsiTheme="minorHAnsi"/>
          <w:szCs w:val="24"/>
        </w:rPr>
      </w:pPr>
    </w:p>
    <w:tbl>
      <w:tblPr>
        <w:tblW w:w="10758" w:type="dxa"/>
        <w:tblBorders>
          <w:top w:val="single" w:sz="12" w:space="0" w:color="92D050"/>
          <w:left w:val="single" w:sz="12" w:space="0" w:color="92D050"/>
          <w:bottom w:val="single" w:sz="12" w:space="0" w:color="92D050"/>
          <w:right w:val="single" w:sz="12" w:space="0" w:color="92D050"/>
          <w:insideH w:val="single" w:sz="12" w:space="0" w:color="92D050"/>
        </w:tblBorders>
        <w:tblLook w:val="00A0" w:firstRow="1" w:lastRow="0" w:firstColumn="1" w:lastColumn="0" w:noHBand="0" w:noVBand="0"/>
      </w:tblPr>
      <w:tblGrid>
        <w:gridCol w:w="1829"/>
        <w:gridCol w:w="8929"/>
      </w:tblGrid>
      <w:tr w:rsidR="00EE30D4" w:rsidRPr="0048724F" w14:paraId="19CA3FC2" w14:textId="77777777" w:rsidTr="00C76610">
        <w:tc>
          <w:tcPr>
            <w:tcW w:w="1829" w:type="dxa"/>
            <w:shd w:val="clear" w:color="auto" w:fill="92D050"/>
          </w:tcPr>
          <w:p w14:paraId="5A36E544" w14:textId="77777777" w:rsidR="00EE30D4" w:rsidRPr="0048724F" w:rsidRDefault="00EE30D4" w:rsidP="00AE3AF5">
            <w:pPr>
              <w:jc w:val="center"/>
              <w:rPr>
                <w:rFonts w:ascii="Calibri" w:hAnsi="Calibri" w:cs="Calibri"/>
                <w:b/>
                <w:bCs/>
                <w:color w:val="FFFFFF"/>
              </w:rPr>
            </w:pPr>
            <w:r w:rsidRPr="0048724F">
              <w:rPr>
                <w:rFonts w:ascii="Calibri" w:hAnsi="Calibri" w:cs="Calibri"/>
                <w:b/>
                <w:bCs/>
                <w:color w:val="FFFFFF"/>
              </w:rPr>
              <w:t>2</w:t>
            </w:r>
          </w:p>
        </w:tc>
        <w:tc>
          <w:tcPr>
            <w:tcW w:w="8929" w:type="dxa"/>
            <w:shd w:val="clear" w:color="auto" w:fill="92D050"/>
          </w:tcPr>
          <w:p w14:paraId="07065A7E" w14:textId="77777777" w:rsidR="00EE30D4" w:rsidRPr="0048724F" w:rsidRDefault="00EE30D4" w:rsidP="00AE3AF5">
            <w:pPr>
              <w:rPr>
                <w:rFonts w:ascii="Calibri" w:hAnsi="Calibri" w:cs="Calibri"/>
                <w:b/>
                <w:bCs/>
                <w:color w:val="FFFFFF"/>
              </w:rPr>
            </w:pPr>
            <w:r w:rsidRPr="0048724F">
              <w:rPr>
                <w:rFonts w:ascii="Calibri" w:hAnsi="Calibri" w:cs="Calibri"/>
                <w:b/>
                <w:bCs/>
                <w:color w:val="FFFFFF"/>
              </w:rPr>
              <w:t>Context</w:t>
            </w:r>
          </w:p>
        </w:tc>
      </w:tr>
      <w:tr w:rsidR="00EE30D4" w:rsidRPr="0048724F" w14:paraId="3E8067E7" w14:textId="77777777" w:rsidTr="00C76610">
        <w:tc>
          <w:tcPr>
            <w:tcW w:w="10758" w:type="dxa"/>
            <w:gridSpan w:val="2"/>
          </w:tcPr>
          <w:p w14:paraId="336EAEB8" w14:textId="2A26F490" w:rsidR="00C76610" w:rsidRDefault="00C76610" w:rsidP="00AD2201">
            <w:pPr>
              <w:autoSpaceDE w:val="0"/>
              <w:autoSpaceDN w:val="0"/>
              <w:adjustRightInd w:val="0"/>
              <w:rPr>
                <w:rFonts w:asciiTheme="minorHAnsi" w:hAnsiTheme="minorHAnsi"/>
                <w:szCs w:val="24"/>
              </w:rPr>
            </w:pPr>
            <w:r w:rsidRPr="00C76610">
              <w:rPr>
                <w:rFonts w:asciiTheme="minorHAnsi" w:hAnsiTheme="minorHAnsi"/>
                <w:szCs w:val="24"/>
              </w:rPr>
              <w:t xml:space="preserve">For the purposes of this policy, </w:t>
            </w:r>
            <w:r w:rsidR="00AD2201">
              <w:rPr>
                <w:rFonts w:asciiTheme="minorHAnsi" w:hAnsiTheme="minorHAnsi"/>
                <w:szCs w:val="24"/>
              </w:rPr>
              <w:t>“Wakefield and district outliers” will cover any area that falls under Wakefield district council where Leeds Fed</w:t>
            </w:r>
            <w:r w:rsidR="00AF6468">
              <w:rPr>
                <w:rFonts w:asciiTheme="minorHAnsi" w:hAnsiTheme="minorHAnsi"/>
                <w:szCs w:val="24"/>
              </w:rPr>
              <w:t>erated</w:t>
            </w:r>
            <w:r w:rsidR="00AD2201">
              <w:rPr>
                <w:rFonts w:asciiTheme="minorHAnsi" w:hAnsiTheme="minorHAnsi"/>
                <w:szCs w:val="24"/>
              </w:rPr>
              <w:t xml:space="preserve"> do not currently have a stock profile.  It will cover any new build development or purchase of individual stock within this geographical area, where the property will be made available for rental by Leeds Fed.</w:t>
            </w:r>
          </w:p>
          <w:p w14:paraId="17774EA6" w14:textId="77777777" w:rsidR="00015640" w:rsidRDefault="00015640" w:rsidP="00AD2201">
            <w:pPr>
              <w:autoSpaceDE w:val="0"/>
              <w:autoSpaceDN w:val="0"/>
              <w:adjustRightInd w:val="0"/>
              <w:rPr>
                <w:rFonts w:asciiTheme="minorHAnsi" w:hAnsiTheme="minorHAnsi"/>
                <w:szCs w:val="24"/>
              </w:rPr>
            </w:pPr>
          </w:p>
          <w:p w14:paraId="5695E498" w14:textId="77777777" w:rsidR="00805BBC" w:rsidRDefault="00015640" w:rsidP="00805BBC">
            <w:pPr>
              <w:autoSpaceDE w:val="0"/>
              <w:autoSpaceDN w:val="0"/>
              <w:adjustRightInd w:val="0"/>
              <w:rPr>
                <w:rFonts w:asciiTheme="minorHAnsi" w:hAnsiTheme="minorHAnsi"/>
                <w:szCs w:val="24"/>
              </w:rPr>
            </w:pPr>
            <w:r>
              <w:rPr>
                <w:rFonts w:asciiTheme="minorHAnsi" w:hAnsiTheme="minorHAnsi"/>
                <w:szCs w:val="24"/>
              </w:rPr>
              <w:t>At the time of this policy being written, the following developments are either in contract or in negotiation and will be covered by this policy if they come to fruition</w:t>
            </w:r>
            <w:r w:rsidR="00805BBC">
              <w:rPr>
                <w:rFonts w:asciiTheme="minorHAnsi" w:hAnsiTheme="minorHAnsi"/>
                <w:szCs w:val="24"/>
              </w:rPr>
              <w:t>:</w:t>
            </w:r>
          </w:p>
          <w:p w14:paraId="054123BF" w14:textId="44F20E97" w:rsidR="00015640" w:rsidRPr="00B851A5" w:rsidRDefault="00EE513C" w:rsidP="00015640">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Keats Close, Pontefract</w:t>
            </w:r>
          </w:p>
          <w:p w14:paraId="6D4980FE" w14:textId="15268E4D" w:rsidR="00015640" w:rsidRDefault="00EE513C">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Coleridge Way, Pontefract</w:t>
            </w:r>
          </w:p>
          <w:p w14:paraId="69BE9857" w14:textId="09906F96" w:rsidR="00EE513C" w:rsidRPr="006429C8" w:rsidRDefault="00EE513C">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 xml:space="preserve">Pemberton Road, </w:t>
            </w:r>
            <w:r w:rsidR="00DA4FE2">
              <w:rPr>
                <w:rFonts w:asciiTheme="minorHAnsi" w:hAnsiTheme="minorHAnsi"/>
                <w:szCs w:val="24"/>
              </w:rPr>
              <w:t>Castleford</w:t>
            </w:r>
          </w:p>
          <w:p w14:paraId="7F5F5E12" w14:textId="13489434" w:rsidR="00805BBC" w:rsidRDefault="00805BBC" w:rsidP="00805BBC">
            <w:pPr>
              <w:autoSpaceDE w:val="0"/>
              <w:autoSpaceDN w:val="0"/>
              <w:adjustRightInd w:val="0"/>
              <w:rPr>
                <w:rFonts w:asciiTheme="minorHAnsi" w:hAnsiTheme="minorHAnsi"/>
                <w:szCs w:val="24"/>
              </w:rPr>
            </w:pPr>
          </w:p>
          <w:p w14:paraId="4CDD181F" w14:textId="0A2A06D4" w:rsidR="007E7132" w:rsidRDefault="007E7132" w:rsidP="00805BBC">
            <w:pPr>
              <w:autoSpaceDE w:val="0"/>
              <w:autoSpaceDN w:val="0"/>
              <w:adjustRightInd w:val="0"/>
              <w:rPr>
                <w:rFonts w:asciiTheme="minorHAnsi" w:hAnsiTheme="minorHAnsi"/>
                <w:szCs w:val="24"/>
              </w:rPr>
            </w:pPr>
            <w:r>
              <w:rPr>
                <w:rFonts w:asciiTheme="minorHAnsi" w:hAnsiTheme="minorHAnsi"/>
                <w:szCs w:val="24"/>
              </w:rPr>
              <w:t>The following schemes are already owned by Leeds Federated and will be covered by this policy:</w:t>
            </w:r>
          </w:p>
          <w:p w14:paraId="0954A9CB" w14:textId="5617AD4C" w:rsidR="007E7132" w:rsidRDefault="007E7132" w:rsidP="006429C8">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Leafield Gardens, Wrenthorpe</w:t>
            </w:r>
          </w:p>
          <w:p w14:paraId="65601DCA" w14:textId="77999E49" w:rsidR="00F711A7" w:rsidRDefault="00F711A7" w:rsidP="006429C8">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Warren Close, Pontefract</w:t>
            </w:r>
          </w:p>
          <w:p w14:paraId="5B5A43C3" w14:textId="66DDA8EC" w:rsidR="00F711A7" w:rsidRDefault="00F711A7" w:rsidP="006429C8">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Whistler Drive, Castleford</w:t>
            </w:r>
          </w:p>
          <w:p w14:paraId="5A66A721" w14:textId="30B5FA18" w:rsidR="007E7132" w:rsidRDefault="007E7132" w:rsidP="006429C8">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Carnforth Avenue/Merchant Gate, Wakefield</w:t>
            </w:r>
          </w:p>
          <w:p w14:paraId="50484156" w14:textId="26F4F411" w:rsidR="002719B9" w:rsidRDefault="002719B9" w:rsidP="006429C8">
            <w:pPr>
              <w:pStyle w:val="ListParagraph"/>
              <w:numPr>
                <w:ilvl w:val="0"/>
                <w:numId w:val="7"/>
              </w:numPr>
              <w:autoSpaceDE w:val="0"/>
              <w:autoSpaceDN w:val="0"/>
              <w:adjustRightInd w:val="0"/>
              <w:rPr>
                <w:rFonts w:asciiTheme="minorHAnsi" w:hAnsiTheme="minorHAnsi"/>
                <w:szCs w:val="24"/>
              </w:rPr>
            </w:pPr>
            <w:r>
              <w:rPr>
                <w:rFonts w:asciiTheme="minorHAnsi" w:hAnsiTheme="minorHAnsi"/>
                <w:szCs w:val="24"/>
              </w:rPr>
              <w:t xml:space="preserve">Epsom Close, </w:t>
            </w:r>
            <w:r w:rsidR="00AD12B9">
              <w:rPr>
                <w:rFonts w:asciiTheme="minorHAnsi" w:hAnsiTheme="minorHAnsi"/>
                <w:szCs w:val="24"/>
              </w:rPr>
              <w:t>Castleford</w:t>
            </w:r>
          </w:p>
          <w:p w14:paraId="6563AAC1" w14:textId="55FF087A" w:rsidR="00B851A5" w:rsidRDefault="00B851A5" w:rsidP="00805BBC">
            <w:pPr>
              <w:autoSpaceDE w:val="0"/>
              <w:autoSpaceDN w:val="0"/>
              <w:adjustRightInd w:val="0"/>
              <w:rPr>
                <w:rFonts w:asciiTheme="minorHAnsi" w:hAnsiTheme="minorHAnsi"/>
                <w:szCs w:val="24"/>
              </w:rPr>
            </w:pPr>
          </w:p>
          <w:p w14:paraId="33F50690" w14:textId="3BAB35AE" w:rsidR="00AD12B9" w:rsidRDefault="00AD12B9" w:rsidP="00805BBC">
            <w:pPr>
              <w:autoSpaceDE w:val="0"/>
              <w:autoSpaceDN w:val="0"/>
              <w:adjustRightInd w:val="0"/>
              <w:rPr>
                <w:rFonts w:asciiTheme="minorHAnsi" w:hAnsiTheme="minorHAnsi"/>
                <w:szCs w:val="24"/>
              </w:rPr>
            </w:pPr>
            <w:r>
              <w:rPr>
                <w:rFonts w:asciiTheme="minorHAnsi" w:hAnsiTheme="minorHAnsi"/>
                <w:szCs w:val="24"/>
              </w:rPr>
              <w:t>Previously covered addresses within this area have now “fallen away” from this policy given that they have been in ownership and management of Leeds Federated for over a 3 year period.</w:t>
            </w:r>
          </w:p>
          <w:p w14:paraId="0B10CD56" w14:textId="77777777" w:rsidR="00AD12B9" w:rsidRDefault="00AD12B9" w:rsidP="00805BBC">
            <w:pPr>
              <w:autoSpaceDE w:val="0"/>
              <w:autoSpaceDN w:val="0"/>
              <w:adjustRightInd w:val="0"/>
              <w:rPr>
                <w:rFonts w:asciiTheme="minorHAnsi" w:hAnsiTheme="minorHAnsi"/>
                <w:szCs w:val="24"/>
              </w:rPr>
            </w:pPr>
          </w:p>
          <w:p w14:paraId="11A4EE87" w14:textId="45795E43" w:rsidR="00805BBC" w:rsidRDefault="00AD12B9" w:rsidP="00805BBC">
            <w:pPr>
              <w:autoSpaceDE w:val="0"/>
              <w:autoSpaceDN w:val="0"/>
              <w:adjustRightInd w:val="0"/>
              <w:rPr>
                <w:rFonts w:asciiTheme="minorHAnsi" w:hAnsiTheme="minorHAnsi"/>
                <w:szCs w:val="24"/>
              </w:rPr>
            </w:pPr>
            <w:r>
              <w:rPr>
                <w:rFonts w:asciiTheme="minorHAnsi" w:hAnsiTheme="minorHAnsi"/>
                <w:szCs w:val="24"/>
              </w:rPr>
              <w:t>T</w:t>
            </w:r>
            <w:r w:rsidR="00805BBC">
              <w:rPr>
                <w:rFonts w:asciiTheme="minorHAnsi" w:hAnsiTheme="minorHAnsi"/>
                <w:szCs w:val="24"/>
              </w:rPr>
              <w:t>his list is subject to change due to the nature of the policy and the areas in which it is designed to cover may be added as long as they fall within the criteria mentioned above.</w:t>
            </w:r>
          </w:p>
          <w:p w14:paraId="47AC77E5" w14:textId="77777777" w:rsidR="00C76610" w:rsidRPr="0048724F" w:rsidRDefault="00C76610" w:rsidP="00C76610">
            <w:pPr>
              <w:autoSpaceDE w:val="0"/>
              <w:autoSpaceDN w:val="0"/>
              <w:adjustRightInd w:val="0"/>
            </w:pPr>
          </w:p>
        </w:tc>
      </w:tr>
    </w:tbl>
    <w:p w14:paraId="08582592" w14:textId="524A70ED" w:rsidR="00A63510" w:rsidRPr="00D5145D" w:rsidRDefault="00A63510" w:rsidP="000362B3">
      <w:pPr>
        <w:rPr>
          <w:rFonts w:asciiTheme="minorHAnsi" w:hAnsiTheme="minorHAnsi"/>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none" w:sz="0" w:space="0" w:color="auto"/>
        </w:tblBorders>
        <w:tblLook w:val="04A0" w:firstRow="1" w:lastRow="0" w:firstColumn="1" w:lastColumn="0" w:noHBand="0" w:noVBand="1"/>
      </w:tblPr>
      <w:tblGrid>
        <w:gridCol w:w="2323"/>
        <w:gridCol w:w="8447"/>
      </w:tblGrid>
      <w:tr w:rsidR="000362B3" w:rsidRPr="00D5145D" w14:paraId="25E8E501" w14:textId="77777777" w:rsidTr="00090449">
        <w:tc>
          <w:tcPr>
            <w:tcW w:w="2376" w:type="dxa"/>
            <w:shd w:val="clear" w:color="auto" w:fill="92D050"/>
          </w:tcPr>
          <w:p w14:paraId="2EFD3C35" w14:textId="5358D76E" w:rsidR="000362B3" w:rsidRPr="00D5145D" w:rsidRDefault="00EE30D4" w:rsidP="000362B3">
            <w:pPr>
              <w:jc w:val="center"/>
              <w:rPr>
                <w:rFonts w:asciiTheme="minorHAnsi" w:hAnsiTheme="minorHAnsi"/>
                <w:b/>
                <w:color w:val="FFFFFF" w:themeColor="background1"/>
                <w:szCs w:val="24"/>
              </w:rPr>
            </w:pPr>
            <w:r>
              <w:rPr>
                <w:rFonts w:asciiTheme="minorHAnsi" w:hAnsiTheme="minorHAnsi"/>
                <w:b/>
                <w:color w:val="FFFFFF" w:themeColor="background1"/>
                <w:szCs w:val="24"/>
              </w:rPr>
              <w:t>3</w:t>
            </w:r>
          </w:p>
        </w:tc>
        <w:tc>
          <w:tcPr>
            <w:tcW w:w="8640" w:type="dxa"/>
            <w:shd w:val="clear" w:color="auto" w:fill="92D050"/>
          </w:tcPr>
          <w:p w14:paraId="43FB9751" w14:textId="77777777" w:rsidR="000362B3" w:rsidRPr="00D5145D" w:rsidRDefault="000362B3" w:rsidP="000362B3">
            <w:pPr>
              <w:rPr>
                <w:rFonts w:asciiTheme="minorHAnsi" w:hAnsiTheme="minorHAnsi"/>
                <w:b/>
                <w:color w:val="FFFFFF" w:themeColor="background1"/>
                <w:szCs w:val="24"/>
              </w:rPr>
            </w:pPr>
            <w:r w:rsidRPr="00D5145D">
              <w:rPr>
                <w:rFonts w:asciiTheme="minorHAnsi" w:hAnsiTheme="minorHAnsi"/>
                <w:b/>
                <w:color w:val="FFFFFF" w:themeColor="background1"/>
                <w:szCs w:val="24"/>
              </w:rPr>
              <w:t>Background</w:t>
            </w:r>
          </w:p>
        </w:tc>
      </w:tr>
      <w:tr w:rsidR="000362B3" w:rsidRPr="00D5145D" w14:paraId="410A12D9" w14:textId="77777777" w:rsidTr="00090449">
        <w:tc>
          <w:tcPr>
            <w:tcW w:w="11016" w:type="dxa"/>
            <w:gridSpan w:val="2"/>
          </w:tcPr>
          <w:p w14:paraId="5F01D5D6" w14:textId="77777777" w:rsidR="00C76610" w:rsidRPr="00C76610" w:rsidRDefault="00C76610" w:rsidP="00C76610">
            <w:pPr>
              <w:autoSpaceDE w:val="0"/>
              <w:autoSpaceDN w:val="0"/>
              <w:adjustRightInd w:val="0"/>
              <w:rPr>
                <w:rFonts w:asciiTheme="minorHAnsi" w:hAnsiTheme="minorHAnsi"/>
                <w:szCs w:val="24"/>
              </w:rPr>
            </w:pPr>
            <w:r w:rsidRPr="00C76610">
              <w:rPr>
                <w:rFonts w:asciiTheme="minorHAnsi" w:hAnsiTheme="minorHAnsi"/>
                <w:szCs w:val="24"/>
              </w:rPr>
              <w:t xml:space="preserve">Leeds Federated’s Lettings Policy states that: </w:t>
            </w:r>
          </w:p>
          <w:p w14:paraId="64756874" w14:textId="77777777" w:rsidR="00C76610" w:rsidRPr="001E7F28" w:rsidRDefault="00C76610" w:rsidP="00C76610">
            <w:pPr>
              <w:rPr>
                <w:rFonts w:ascii="Calibri" w:hAnsi="Calibri"/>
                <w:i/>
                <w:szCs w:val="24"/>
              </w:rPr>
            </w:pPr>
            <w:r>
              <w:rPr>
                <w:rFonts w:ascii="Calibri" w:hAnsi="Calibri"/>
              </w:rPr>
              <w:t xml:space="preserve"> </w:t>
            </w:r>
            <w:r w:rsidRPr="001E7F28">
              <w:rPr>
                <w:rFonts w:ascii="Calibri" w:hAnsi="Calibri"/>
                <w:i/>
              </w:rPr>
              <w:t>“</w:t>
            </w:r>
            <w:r w:rsidRPr="001E7F28">
              <w:rPr>
                <w:rFonts w:ascii="Calibri" w:hAnsi="Calibri"/>
                <w:i/>
                <w:szCs w:val="24"/>
              </w:rPr>
              <w:t xml:space="preserve">Leeds Federated is also committed to assisting in the creation and maintenance of sustainable communities.  We will: </w:t>
            </w:r>
          </w:p>
          <w:p w14:paraId="073511B2" w14:textId="77777777" w:rsidR="00C76610" w:rsidRPr="00C76610" w:rsidRDefault="00C76610" w:rsidP="00F628B8">
            <w:pPr>
              <w:numPr>
                <w:ilvl w:val="0"/>
                <w:numId w:val="5"/>
              </w:numPr>
              <w:rPr>
                <w:rFonts w:cs="Arial"/>
                <w:b/>
                <w:i/>
              </w:rPr>
            </w:pPr>
            <w:r w:rsidRPr="001E7F28">
              <w:rPr>
                <w:rFonts w:ascii="Calibri" w:hAnsi="Calibri"/>
                <w:i/>
                <w:szCs w:val="24"/>
              </w:rPr>
              <w:t>Operate a local lettings policy in selected areas in order to help build or maintain sustainable communities but these will always take into account urgent housing needs and be non-discriminatory</w:t>
            </w:r>
            <w:r w:rsidRPr="001E7F28">
              <w:rPr>
                <w:rFonts w:ascii="Calibri" w:hAnsi="Calibri"/>
                <w:i/>
              </w:rPr>
              <w:t>”</w:t>
            </w:r>
          </w:p>
          <w:p w14:paraId="25A41D8B" w14:textId="77777777" w:rsidR="00C76610" w:rsidRDefault="00C76610" w:rsidP="00C76610">
            <w:pPr>
              <w:rPr>
                <w:rFonts w:asciiTheme="minorHAnsi" w:hAnsiTheme="minorHAnsi"/>
                <w:b/>
                <w:szCs w:val="24"/>
              </w:rPr>
            </w:pPr>
          </w:p>
          <w:p w14:paraId="240E2880" w14:textId="5C220605" w:rsidR="00C76610" w:rsidRPr="00C76610" w:rsidRDefault="00C76610" w:rsidP="00C76610">
            <w:pPr>
              <w:rPr>
                <w:rFonts w:asciiTheme="minorHAnsi" w:hAnsiTheme="minorHAnsi"/>
                <w:i/>
                <w:szCs w:val="24"/>
              </w:rPr>
            </w:pPr>
            <w:r w:rsidRPr="00C76610">
              <w:rPr>
                <w:rFonts w:asciiTheme="minorHAnsi" w:hAnsiTheme="minorHAnsi"/>
                <w:i/>
                <w:szCs w:val="24"/>
              </w:rPr>
              <w:t xml:space="preserve">“The Association may operate local lettings policies to enhance the sustainability of selected areas.  Where a local lettings policy operates, preference for offers of accommodation will be given to particular customer groups.  </w:t>
            </w:r>
            <w:r w:rsidR="00EF7610">
              <w:rPr>
                <w:rFonts w:asciiTheme="minorHAnsi" w:hAnsiTheme="minorHAnsi"/>
                <w:i/>
                <w:szCs w:val="24"/>
              </w:rPr>
              <w:t>An equality analysis is undertake</w:t>
            </w:r>
            <w:r w:rsidR="00C53D93">
              <w:rPr>
                <w:rFonts w:asciiTheme="minorHAnsi" w:hAnsiTheme="minorHAnsi"/>
                <w:i/>
                <w:szCs w:val="24"/>
              </w:rPr>
              <w:t>n to ensure that l</w:t>
            </w:r>
            <w:r w:rsidRPr="00C76610">
              <w:rPr>
                <w:rFonts w:asciiTheme="minorHAnsi" w:hAnsiTheme="minorHAnsi"/>
                <w:i/>
                <w:szCs w:val="24"/>
              </w:rPr>
              <w:t xml:space="preserve">ocal lettings policies will not discriminate unjustifiably, directly or indirectly on racial or other equality grounds.  </w:t>
            </w:r>
          </w:p>
          <w:p w14:paraId="4E348985" w14:textId="77777777" w:rsidR="00C76610" w:rsidRPr="00C76610" w:rsidRDefault="00C76610" w:rsidP="00C76610">
            <w:pPr>
              <w:rPr>
                <w:rFonts w:asciiTheme="minorHAnsi" w:hAnsiTheme="minorHAnsi"/>
                <w:i/>
                <w:szCs w:val="24"/>
              </w:rPr>
            </w:pPr>
          </w:p>
          <w:p w14:paraId="181E41F7" w14:textId="532A28C7" w:rsidR="00C76610" w:rsidRPr="00C76610" w:rsidRDefault="00C76610" w:rsidP="00C76610">
            <w:pPr>
              <w:rPr>
                <w:rFonts w:cs="Arial"/>
                <w:b/>
                <w:i/>
              </w:rPr>
            </w:pPr>
            <w:r w:rsidRPr="00C76610">
              <w:rPr>
                <w:rFonts w:asciiTheme="minorHAnsi" w:hAnsiTheme="minorHAnsi"/>
                <w:i/>
                <w:szCs w:val="24"/>
              </w:rPr>
              <w:t xml:space="preserve">The relevant local authority will be notified of any local lettings policies </w:t>
            </w:r>
            <w:r w:rsidR="000A2579" w:rsidRPr="00C76610">
              <w:rPr>
                <w:rFonts w:asciiTheme="minorHAnsi" w:hAnsiTheme="minorHAnsi"/>
                <w:i/>
                <w:szCs w:val="24"/>
              </w:rPr>
              <w:t>introduced which</w:t>
            </w:r>
            <w:r w:rsidRPr="00C76610">
              <w:rPr>
                <w:rFonts w:asciiTheme="minorHAnsi" w:hAnsiTheme="minorHAnsi"/>
                <w:i/>
                <w:szCs w:val="24"/>
              </w:rPr>
              <w:t xml:space="preserve"> will be reviewed regularly to ensure they remain relevant.”</w:t>
            </w:r>
          </w:p>
          <w:p w14:paraId="269519C3" w14:textId="41977BBF" w:rsidR="000362B3" w:rsidRPr="00D5145D" w:rsidRDefault="000362B3" w:rsidP="00C76610">
            <w:pPr>
              <w:rPr>
                <w:rFonts w:asciiTheme="minorHAnsi" w:hAnsiTheme="minorHAnsi"/>
                <w:szCs w:val="24"/>
              </w:rPr>
            </w:pPr>
          </w:p>
        </w:tc>
      </w:tr>
    </w:tbl>
    <w:p w14:paraId="3A81F3D6" w14:textId="77777777" w:rsidR="000362B3" w:rsidRDefault="000362B3" w:rsidP="000362B3">
      <w:pPr>
        <w:rPr>
          <w:rFonts w:asciiTheme="minorHAnsi" w:hAnsiTheme="minorHAnsi"/>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none" w:sz="0" w:space="0" w:color="auto"/>
        </w:tblBorders>
        <w:tblLook w:val="04A0" w:firstRow="1" w:lastRow="0" w:firstColumn="1" w:lastColumn="0" w:noHBand="0" w:noVBand="1"/>
      </w:tblPr>
      <w:tblGrid>
        <w:gridCol w:w="2322"/>
        <w:gridCol w:w="8448"/>
      </w:tblGrid>
      <w:tr w:rsidR="000362B3" w:rsidRPr="00D5145D" w14:paraId="39ABD52C" w14:textId="77777777" w:rsidTr="00805BBC">
        <w:tc>
          <w:tcPr>
            <w:tcW w:w="2322" w:type="dxa"/>
            <w:shd w:val="clear" w:color="auto" w:fill="92D050"/>
          </w:tcPr>
          <w:p w14:paraId="26742CE3" w14:textId="124D7A05" w:rsidR="000362B3" w:rsidRPr="00D5145D" w:rsidRDefault="00EE30D4" w:rsidP="000362B3">
            <w:pPr>
              <w:jc w:val="center"/>
              <w:rPr>
                <w:rFonts w:asciiTheme="minorHAnsi" w:hAnsiTheme="minorHAnsi"/>
                <w:b/>
                <w:color w:val="FFFFFF" w:themeColor="background1"/>
                <w:szCs w:val="24"/>
              </w:rPr>
            </w:pPr>
            <w:r>
              <w:rPr>
                <w:rFonts w:asciiTheme="minorHAnsi" w:hAnsiTheme="minorHAnsi"/>
                <w:b/>
                <w:color w:val="FFFFFF" w:themeColor="background1"/>
                <w:szCs w:val="24"/>
              </w:rPr>
              <w:t>4</w:t>
            </w:r>
          </w:p>
        </w:tc>
        <w:tc>
          <w:tcPr>
            <w:tcW w:w="8448" w:type="dxa"/>
            <w:shd w:val="clear" w:color="auto" w:fill="92D050"/>
          </w:tcPr>
          <w:p w14:paraId="51EAD9A1" w14:textId="77777777" w:rsidR="000362B3" w:rsidRPr="00D5145D" w:rsidRDefault="000362B3" w:rsidP="000362B3">
            <w:pPr>
              <w:rPr>
                <w:rFonts w:asciiTheme="minorHAnsi" w:hAnsiTheme="minorHAnsi"/>
                <w:b/>
                <w:color w:val="FFFFFF" w:themeColor="background1"/>
                <w:szCs w:val="24"/>
              </w:rPr>
            </w:pPr>
            <w:r w:rsidRPr="00D5145D">
              <w:rPr>
                <w:rFonts w:asciiTheme="minorHAnsi" w:hAnsiTheme="minorHAnsi"/>
                <w:b/>
                <w:color w:val="FFFFFF" w:themeColor="background1"/>
                <w:szCs w:val="24"/>
              </w:rPr>
              <w:t>Introduction</w:t>
            </w:r>
          </w:p>
        </w:tc>
      </w:tr>
      <w:tr w:rsidR="000362B3" w:rsidRPr="00D5145D" w14:paraId="3BECF879" w14:textId="77777777" w:rsidTr="00805BBC">
        <w:tc>
          <w:tcPr>
            <w:tcW w:w="10770" w:type="dxa"/>
            <w:gridSpan w:val="2"/>
          </w:tcPr>
          <w:p w14:paraId="40373E72" w14:textId="5EC56068" w:rsidR="00AD2201" w:rsidRDefault="00AD2201" w:rsidP="00C76610">
            <w:pPr>
              <w:autoSpaceDE w:val="0"/>
              <w:autoSpaceDN w:val="0"/>
              <w:adjustRightInd w:val="0"/>
              <w:rPr>
                <w:rFonts w:asciiTheme="minorHAnsi" w:hAnsiTheme="minorHAnsi"/>
                <w:szCs w:val="24"/>
              </w:rPr>
            </w:pPr>
            <w:r>
              <w:rPr>
                <w:rFonts w:asciiTheme="minorHAnsi" w:hAnsiTheme="minorHAnsi"/>
                <w:szCs w:val="24"/>
              </w:rPr>
              <w:t>Leeds Fed</w:t>
            </w:r>
            <w:r w:rsidR="00B12CB2">
              <w:rPr>
                <w:rFonts w:asciiTheme="minorHAnsi" w:hAnsiTheme="minorHAnsi"/>
                <w:szCs w:val="24"/>
              </w:rPr>
              <w:t>erated</w:t>
            </w:r>
            <w:r>
              <w:rPr>
                <w:rFonts w:asciiTheme="minorHAnsi" w:hAnsiTheme="minorHAnsi"/>
                <w:szCs w:val="24"/>
              </w:rPr>
              <w:t xml:space="preserve"> do not currently have a known stock profile in some of the outlying areas covered by Wakefield district council and therefore has little or no experience of these areas.</w:t>
            </w:r>
          </w:p>
          <w:p w14:paraId="04CE0A4B" w14:textId="6F6D944B" w:rsidR="00AD2201" w:rsidRDefault="00AD2201" w:rsidP="00C76610">
            <w:pPr>
              <w:autoSpaceDE w:val="0"/>
              <w:autoSpaceDN w:val="0"/>
              <w:adjustRightInd w:val="0"/>
              <w:rPr>
                <w:rFonts w:asciiTheme="minorHAnsi" w:hAnsiTheme="minorHAnsi"/>
                <w:szCs w:val="24"/>
              </w:rPr>
            </w:pPr>
          </w:p>
          <w:p w14:paraId="59DEF229" w14:textId="14BBF0C1" w:rsidR="00AD2201" w:rsidRDefault="00AD2201" w:rsidP="00C76610">
            <w:pPr>
              <w:autoSpaceDE w:val="0"/>
              <w:autoSpaceDN w:val="0"/>
              <w:adjustRightInd w:val="0"/>
              <w:rPr>
                <w:rFonts w:asciiTheme="minorHAnsi" w:hAnsiTheme="minorHAnsi"/>
                <w:szCs w:val="24"/>
              </w:rPr>
            </w:pPr>
            <w:r>
              <w:rPr>
                <w:rFonts w:asciiTheme="minorHAnsi" w:hAnsiTheme="minorHAnsi"/>
                <w:szCs w:val="24"/>
              </w:rPr>
              <w:t>There is a large programme of development within the organisation whereby stock is being purchased in areas where we do not currently operate.</w:t>
            </w:r>
          </w:p>
          <w:p w14:paraId="58FD04E8" w14:textId="77777777" w:rsidR="00AD2201" w:rsidRDefault="00AD2201" w:rsidP="00C76610">
            <w:pPr>
              <w:autoSpaceDE w:val="0"/>
              <w:autoSpaceDN w:val="0"/>
              <w:adjustRightInd w:val="0"/>
              <w:rPr>
                <w:rFonts w:asciiTheme="minorHAnsi" w:hAnsiTheme="minorHAnsi"/>
                <w:szCs w:val="24"/>
              </w:rPr>
            </w:pPr>
          </w:p>
          <w:p w14:paraId="33E99B60" w14:textId="77777777" w:rsidR="00AD2201" w:rsidRDefault="00AD2201" w:rsidP="00C76610">
            <w:pPr>
              <w:autoSpaceDE w:val="0"/>
              <w:autoSpaceDN w:val="0"/>
              <w:adjustRightInd w:val="0"/>
              <w:rPr>
                <w:rFonts w:asciiTheme="minorHAnsi" w:hAnsiTheme="minorHAnsi"/>
                <w:szCs w:val="24"/>
              </w:rPr>
            </w:pPr>
            <w:r>
              <w:rPr>
                <w:rFonts w:asciiTheme="minorHAnsi" w:hAnsiTheme="minorHAnsi"/>
                <w:szCs w:val="24"/>
              </w:rPr>
              <w:t>The purpose of this Local Lettings Policy is to:</w:t>
            </w:r>
          </w:p>
          <w:p w14:paraId="5DA293A0" w14:textId="560FF5E0" w:rsidR="00BA76FC" w:rsidRDefault="00AD2201" w:rsidP="00F628B8">
            <w:pPr>
              <w:pStyle w:val="ListParagraph"/>
              <w:numPr>
                <w:ilvl w:val="0"/>
                <w:numId w:val="6"/>
              </w:numPr>
              <w:autoSpaceDE w:val="0"/>
              <w:autoSpaceDN w:val="0"/>
              <w:adjustRightInd w:val="0"/>
              <w:rPr>
                <w:rFonts w:asciiTheme="minorHAnsi" w:hAnsiTheme="minorHAnsi"/>
                <w:szCs w:val="24"/>
              </w:rPr>
            </w:pPr>
            <w:r>
              <w:rPr>
                <w:rFonts w:asciiTheme="minorHAnsi" w:hAnsiTheme="minorHAnsi"/>
                <w:szCs w:val="24"/>
              </w:rPr>
              <w:t xml:space="preserve">Assist in creating communities in these areas by ensuring that the tenancies created are sustainable </w:t>
            </w:r>
            <w:r w:rsidR="00BA76FC">
              <w:rPr>
                <w:rFonts w:asciiTheme="minorHAnsi" w:hAnsiTheme="minorHAnsi"/>
                <w:szCs w:val="24"/>
              </w:rPr>
              <w:t>and manageable</w:t>
            </w:r>
          </w:p>
          <w:p w14:paraId="3D58670B" w14:textId="77777777" w:rsidR="00BA76FC" w:rsidRDefault="00BA76FC" w:rsidP="00F628B8">
            <w:pPr>
              <w:pStyle w:val="ListParagraph"/>
              <w:numPr>
                <w:ilvl w:val="0"/>
                <w:numId w:val="6"/>
              </w:numPr>
              <w:autoSpaceDE w:val="0"/>
              <w:autoSpaceDN w:val="0"/>
              <w:adjustRightInd w:val="0"/>
              <w:rPr>
                <w:rFonts w:asciiTheme="minorHAnsi" w:hAnsiTheme="minorHAnsi"/>
                <w:szCs w:val="24"/>
              </w:rPr>
            </w:pPr>
            <w:r>
              <w:rPr>
                <w:rFonts w:asciiTheme="minorHAnsi" w:hAnsiTheme="minorHAnsi"/>
                <w:szCs w:val="24"/>
              </w:rPr>
              <w:t>Prevent areas of transiency where people do not wish to stay for long periods of time</w:t>
            </w:r>
          </w:p>
          <w:p w14:paraId="0375F494" w14:textId="7F35B2AE" w:rsidR="00BA76FC" w:rsidRDefault="00BA76FC" w:rsidP="00F628B8">
            <w:pPr>
              <w:pStyle w:val="ListParagraph"/>
              <w:numPr>
                <w:ilvl w:val="0"/>
                <w:numId w:val="6"/>
              </w:numPr>
              <w:autoSpaceDE w:val="0"/>
              <w:autoSpaceDN w:val="0"/>
              <w:adjustRightInd w:val="0"/>
              <w:rPr>
                <w:rFonts w:asciiTheme="minorHAnsi" w:hAnsiTheme="minorHAnsi"/>
                <w:szCs w:val="24"/>
              </w:rPr>
            </w:pPr>
            <w:r>
              <w:rPr>
                <w:rFonts w:asciiTheme="minorHAnsi" w:hAnsiTheme="minorHAnsi"/>
                <w:szCs w:val="24"/>
              </w:rPr>
              <w:t>Reduce the potential for tenancy management issues in areas of unfamiliarity</w:t>
            </w:r>
          </w:p>
          <w:p w14:paraId="61633EB3" w14:textId="37693F01" w:rsidR="00BA76FC" w:rsidRPr="00BA76FC" w:rsidRDefault="00BA76FC" w:rsidP="00F628B8">
            <w:pPr>
              <w:pStyle w:val="ListParagraph"/>
              <w:numPr>
                <w:ilvl w:val="0"/>
                <w:numId w:val="6"/>
              </w:numPr>
              <w:autoSpaceDE w:val="0"/>
              <w:autoSpaceDN w:val="0"/>
              <w:adjustRightInd w:val="0"/>
              <w:rPr>
                <w:rFonts w:asciiTheme="minorHAnsi" w:hAnsiTheme="minorHAnsi"/>
                <w:szCs w:val="24"/>
              </w:rPr>
            </w:pPr>
            <w:r>
              <w:rPr>
                <w:rFonts w:asciiTheme="minorHAnsi" w:hAnsiTheme="minorHAnsi"/>
                <w:szCs w:val="24"/>
              </w:rPr>
              <w:t>Ensure demand for properties in these areas remains at a manageable level</w:t>
            </w:r>
          </w:p>
          <w:p w14:paraId="4F84FD0F" w14:textId="77777777" w:rsidR="00C76610" w:rsidRPr="00D5145D" w:rsidRDefault="00C76610" w:rsidP="00805BBC">
            <w:pPr>
              <w:pStyle w:val="ListParagraph"/>
              <w:autoSpaceDE w:val="0"/>
              <w:autoSpaceDN w:val="0"/>
              <w:adjustRightInd w:val="0"/>
              <w:ind w:left="420"/>
              <w:rPr>
                <w:rFonts w:asciiTheme="minorHAnsi" w:hAnsiTheme="minorHAnsi"/>
                <w:szCs w:val="24"/>
              </w:rPr>
            </w:pPr>
          </w:p>
        </w:tc>
      </w:tr>
    </w:tbl>
    <w:p w14:paraId="0D051380" w14:textId="77777777" w:rsidR="000362B3" w:rsidRPr="00D5145D" w:rsidRDefault="000362B3" w:rsidP="000362B3">
      <w:pPr>
        <w:rPr>
          <w:rFonts w:asciiTheme="minorHAnsi" w:hAnsiTheme="minorHAnsi"/>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none" w:sz="0" w:space="0" w:color="auto"/>
        </w:tblBorders>
        <w:tblLook w:val="04A0" w:firstRow="1" w:lastRow="0" w:firstColumn="1" w:lastColumn="0" w:noHBand="0" w:noVBand="1"/>
      </w:tblPr>
      <w:tblGrid>
        <w:gridCol w:w="2327"/>
        <w:gridCol w:w="8443"/>
      </w:tblGrid>
      <w:tr w:rsidR="000362B3" w:rsidRPr="00D5145D" w14:paraId="62B0BDC6" w14:textId="77777777" w:rsidTr="00090449">
        <w:tc>
          <w:tcPr>
            <w:tcW w:w="2376" w:type="dxa"/>
            <w:shd w:val="clear" w:color="auto" w:fill="92D050"/>
          </w:tcPr>
          <w:p w14:paraId="16C9CB4D" w14:textId="7A82EF43" w:rsidR="000362B3" w:rsidRPr="00D5145D" w:rsidRDefault="00EE30D4" w:rsidP="000362B3">
            <w:pPr>
              <w:jc w:val="center"/>
              <w:rPr>
                <w:rFonts w:asciiTheme="minorHAnsi" w:hAnsiTheme="minorHAnsi"/>
                <w:b/>
                <w:color w:val="FFFFFF" w:themeColor="background1"/>
                <w:szCs w:val="24"/>
              </w:rPr>
            </w:pPr>
            <w:r>
              <w:rPr>
                <w:rFonts w:asciiTheme="minorHAnsi" w:hAnsiTheme="minorHAnsi"/>
                <w:b/>
                <w:color w:val="FFFFFF" w:themeColor="background1"/>
                <w:szCs w:val="24"/>
              </w:rPr>
              <w:t>5</w:t>
            </w:r>
          </w:p>
        </w:tc>
        <w:tc>
          <w:tcPr>
            <w:tcW w:w="8640" w:type="dxa"/>
            <w:shd w:val="clear" w:color="auto" w:fill="92D050"/>
          </w:tcPr>
          <w:p w14:paraId="56890C7B" w14:textId="315236CC" w:rsidR="000362B3" w:rsidRPr="00D5145D" w:rsidRDefault="00C76610" w:rsidP="000362B3">
            <w:pPr>
              <w:rPr>
                <w:rFonts w:asciiTheme="minorHAnsi" w:hAnsiTheme="minorHAnsi"/>
                <w:b/>
                <w:color w:val="FFFFFF" w:themeColor="background1"/>
                <w:szCs w:val="24"/>
              </w:rPr>
            </w:pPr>
            <w:r>
              <w:rPr>
                <w:rFonts w:asciiTheme="minorHAnsi" w:hAnsiTheme="minorHAnsi"/>
                <w:b/>
                <w:color w:val="FFFFFF" w:themeColor="background1"/>
                <w:szCs w:val="24"/>
              </w:rPr>
              <w:t xml:space="preserve">Local </w:t>
            </w:r>
            <w:r w:rsidR="002C64F2" w:rsidRPr="00D5145D">
              <w:rPr>
                <w:rFonts w:asciiTheme="minorHAnsi" w:hAnsiTheme="minorHAnsi"/>
                <w:b/>
                <w:color w:val="FFFFFF" w:themeColor="background1"/>
                <w:szCs w:val="24"/>
              </w:rPr>
              <w:t>Lettings</w:t>
            </w:r>
            <w:r w:rsidR="000362B3" w:rsidRPr="00D5145D">
              <w:rPr>
                <w:rFonts w:asciiTheme="minorHAnsi" w:hAnsiTheme="minorHAnsi"/>
                <w:b/>
                <w:color w:val="FFFFFF" w:themeColor="background1"/>
                <w:szCs w:val="24"/>
              </w:rPr>
              <w:t xml:space="preserve"> Policy</w:t>
            </w:r>
          </w:p>
        </w:tc>
      </w:tr>
      <w:tr w:rsidR="000362B3" w:rsidRPr="00D5145D" w14:paraId="071DAD41" w14:textId="77777777" w:rsidTr="00090449">
        <w:tc>
          <w:tcPr>
            <w:tcW w:w="11016" w:type="dxa"/>
            <w:gridSpan w:val="2"/>
          </w:tcPr>
          <w:p w14:paraId="5F51448E" w14:textId="6DDC2595" w:rsidR="00DA76ED" w:rsidRDefault="004149AF" w:rsidP="00DA76ED">
            <w:pPr>
              <w:autoSpaceDE w:val="0"/>
              <w:autoSpaceDN w:val="0"/>
              <w:adjustRightInd w:val="0"/>
              <w:rPr>
                <w:rFonts w:asciiTheme="minorHAnsi" w:hAnsiTheme="minorHAnsi" w:cs="Arial"/>
                <w:szCs w:val="24"/>
              </w:rPr>
            </w:pPr>
            <w:r w:rsidRPr="004149AF">
              <w:rPr>
                <w:rFonts w:asciiTheme="minorHAnsi" w:hAnsiTheme="minorHAnsi"/>
                <w:szCs w:val="24"/>
              </w:rPr>
              <w:t xml:space="preserve">Leeds Federated will </w:t>
            </w:r>
            <w:r w:rsidR="00BA76FC">
              <w:rPr>
                <w:rFonts w:asciiTheme="minorHAnsi" w:hAnsiTheme="minorHAnsi"/>
                <w:szCs w:val="24"/>
              </w:rPr>
              <w:t>introduce</w:t>
            </w:r>
            <w:r w:rsidRPr="004149AF">
              <w:rPr>
                <w:rFonts w:asciiTheme="minorHAnsi" w:hAnsiTheme="minorHAnsi"/>
                <w:szCs w:val="24"/>
              </w:rPr>
              <w:t xml:space="preserve"> the </w:t>
            </w:r>
            <w:r w:rsidR="00BA76FC">
              <w:rPr>
                <w:rFonts w:asciiTheme="minorHAnsi" w:hAnsiTheme="minorHAnsi"/>
                <w:szCs w:val="24"/>
              </w:rPr>
              <w:t>following conditions via th</w:t>
            </w:r>
            <w:r w:rsidR="00805BBC">
              <w:rPr>
                <w:rFonts w:asciiTheme="minorHAnsi" w:hAnsiTheme="minorHAnsi"/>
                <w:szCs w:val="24"/>
              </w:rPr>
              <w:t>is</w:t>
            </w:r>
            <w:r w:rsidR="00BA76FC">
              <w:rPr>
                <w:rFonts w:asciiTheme="minorHAnsi" w:hAnsiTheme="minorHAnsi"/>
                <w:szCs w:val="24"/>
              </w:rPr>
              <w:t xml:space="preserve"> </w:t>
            </w:r>
            <w:r w:rsidRPr="004149AF">
              <w:rPr>
                <w:rFonts w:asciiTheme="minorHAnsi" w:hAnsiTheme="minorHAnsi"/>
                <w:szCs w:val="24"/>
              </w:rPr>
              <w:t>Local Lettings Policy</w:t>
            </w:r>
            <w:r w:rsidR="00805BBC">
              <w:rPr>
                <w:rFonts w:asciiTheme="minorHAnsi" w:hAnsiTheme="minorHAnsi"/>
                <w:szCs w:val="24"/>
              </w:rPr>
              <w:t xml:space="preserve"> which will be used in conjunction with the standard Lettings Policy</w:t>
            </w:r>
            <w:r w:rsidRPr="004149AF">
              <w:rPr>
                <w:rFonts w:asciiTheme="minorHAnsi" w:hAnsiTheme="minorHAnsi"/>
                <w:szCs w:val="24"/>
              </w:rPr>
              <w:t xml:space="preserve">. </w:t>
            </w:r>
            <w:r w:rsidR="00DA76ED" w:rsidRPr="00D5145D">
              <w:rPr>
                <w:rFonts w:asciiTheme="minorHAnsi" w:hAnsiTheme="minorHAnsi" w:cs="Arial"/>
                <w:szCs w:val="24"/>
              </w:rPr>
              <w:t xml:space="preserve">The </w:t>
            </w:r>
            <w:r w:rsidR="00DA76ED">
              <w:rPr>
                <w:rFonts w:asciiTheme="minorHAnsi" w:hAnsiTheme="minorHAnsi" w:cs="Arial"/>
                <w:szCs w:val="24"/>
              </w:rPr>
              <w:t>p</w:t>
            </w:r>
            <w:r w:rsidR="00DA76ED" w:rsidRPr="00D5145D">
              <w:rPr>
                <w:rFonts w:asciiTheme="minorHAnsi" w:hAnsiTheme="minorHAnsi" w:cs="Arial"/>
                <w:szCs w:val="24"/>
              </w:rPr>
              <w:t>olicy</w:t>
            </w:r>
            <w:r w:rsidR="00DA76ED">
              <w:rPr>
                <w:rFonts w:asciiTheme="minorHAnsi" w:hAnsiTheme="minorHAnsi" w:cs="Arial"/>
                <w:szCs w:val="24"/>
              </w:rPr>
              <w:t xml:space="preserve"> </w:t>
            </w:r>
            <w:r w:rsidR="00DA76ED" w:rsidRPr="00D5145D">
              <w:rPr>
                <w:rFonts w:asciiTheme="minorHAnsi" w:hAnsiTheme="minorHAnsi" w:cs="Arial"/>
                <w:szCs w:val="24"/>
              </w:rPr>
              <w:t xml:space="preserve">will be reviewed </w:t>
            </w:r>
            <w:r w:rsidR="00DA76ED">
              <w:rPr>
                <w:rFonts w:asciiTheme="minorHAnsi" w:hAnsiTheme="minorHAnsi" w:cs="Arial"/>
                <w:szCs w:val="24"/>
              </w:rPr>
              <w:t>every t</w:t>
            </w:r>
            <w:r w:rsidR="00A54784">
              <w:rPr>
                <w:rFonts w:asciiTheme="minorHAnsi" w:hAnsiTheme="minorHAnsi" w:cs="Arial"/>
                <w:szCs w:val="24"/>
              </w:rPr>
              <w:t>wo</w:t>
            </w:r>
            <w:r w:rsidR="00DA76ED">
              <w:rPr>
                <w:rFonts w:asciiTheme="minorHAnsi" w:hAnsiTheme="minorHAnsi" w:cs="Arial"/>
                <w:szCs w:val="24"/>
              </w:rPr>
              <w:t xml:space="preserve"> years, or earlier if necessary, </w:t>
            </w:r>
            <w:r w:rsidR="00DA76ED" w:rsidRPr="00D5145D">
              <w:rPr>
                <w:rFonts w:asciiTheme="minorHAnsi" w:hAnsiTheme="minorHAnsi" w:cs="Arial"/>
                <w:szCs w:val="24"/>
              </w:rPr>
              <w:t>to ensure it is meeting its overall purpose and supporting the goals of the Corporate Plan.</w:t>
            </w:r>
          </w:p>
          <w:p w14:paraId="758879C6" w14:textId="77777777" w:rsidR="00BA76FC" w:rsidRDefault="00BA76FC" w:rsidP="004149AF">
            <w:pPr>
              <w:autoSpaceDE w:val="0"/>
              <w:autoSpaceDN w:val="0"/>
              <w:adjustRightInd w:val="0"/>
              <w:rPr>
                <w:rFonts w:asciiTheme="minorHAnsi" w:hAnsiTheme="minorHAnsi"/>
                <w:szCs w:val="24"/>
              </w:rPr>
            </w:pPr>
          </w:p>
          <w:p w14:paraId="774FE41F" w14:textId="2B8D3854" w:rsidR="004149AF" w:rsidRPr="004149AF" w:rsidRDefault="004149AF" w:rsidP="004149AF">
            <w:pPr>
              <w:autoSpaceDE w:val="0"/>
              <w:autoSpaceDN w:val="0"/>
              <w:adjustRightInd w:val="0"/>
              <w:rPr>
                <w:rFonts w:asciiTheme="minorHAnsi" w:hAnsiTheme="minorHAnsi"/>
                <w:szCs w:val="24"/>
              </w:rPr>
            </w:pPr>
            <w:r w:rsidRPr="004149AF">
              <w:rPr>
                <w:rFonts w:asciiTheme="minorHAnsi" w:hAnsiTheme="minorHAnsi"/>
                <w:szCs w:val="24"/>
              </w:rPr>
              <w:t xml:space="preserve">It will cover all properties in the area </w:t>
            </w:r>
            <w:r w:rsidR="00BA76FC">
              <w:rPr>
                <w:rFonts w:asciiTheme="minorHAnsi" w:hAnsiTheme="minorHAnsi"/>
                <w:szCs w:val="24"/>
              </w:rPr>
              <w:t>specified by the policy</w:t>
            </w:r>
            <w:r w:rsidR="000B0189">
              <w:rPr>
                <w:rFonts w:asciiTheme="minorHAnsi" w:hAnsiTheme="minorHAnsi"/>
                <w:szCs w:val="24"/>
              </w:rPr>
              <w:t xml:space="preserve"> purchased in the preceding 3 years or the duration of the policy</w:t>
            </w:r>
            <w:r w:rsidR="00BA76FC">
              <w:rPr>
                <w:rFonts w:asciiTheme="minorHAnsi" w:hAnsiTheme="minorHAnsi"/>
                <w:szCs w:val="24"/>
              </w:rPr>
              <w:t xml:space="preserve"> </w:t>
            </w:r>
            <w:r w:rsidRPr="004149AF">
              <w:rPr>
                <w:rFonts w:asciiTheme="minorHAnsi" w:hAnsiTheme="minorHAnsi"/>
                <w:szCs w:val="24"/>
              </w:rPr>
              <w:t xml:space="preserve">to ensure that new residents are better matched to the properties available and due consideration is given to both their needs and those of existing local residents. </w:t>
            </w:r>
            <w:r w:rsidR="00805BBC">
              <w:rPr>
                <w:rFonts w:asciiTheme="minorHAnsi" w:hAnsiTheme="minorHAnsi"/>
                <w:szCs w:val="24"/>
              </w:rPr>
              <w:t xml:space="preserve">It will apply to 100% of allocations within the specified geographical area.  </w:t>
            </w:r>
            <w:r w:rsidRPr="004149AF">
              <w:rPr>
                <w:rFonts w:asciiTheme="minorHAnsi" w:hAnsiTheme="minorHAnsi"/>
                <w:szCs w:val="24"/>
              </w:rPr>
              <w:t>The LLP will therefore stipulate that:</w:t>
            </w:r>
          </w:p>
          <w:p w14:paraId="4EEF830E" w14:textId="77777777" w:rsidR="004149AF" w:rsidRPr="004149AF" w:rsidRDefault="004149AF" w:rsidP="004149AF">
            <w:pPr>
              <w:autoSpaceDE w:val="0"/>
              <w:autoSpaceDN w:val="0"/>
              <w:adjustRightInd w:val="0"/>
              <w:rPr>
                <w:rFonts w:asciiTheme="minorHAnsi" w:hAnsiTheme="minorHAnsi"/>
                <w:szCs w:val="24"/>
              </w:rPr>
            </w:pPr>
          </w:p>
          <w:p w14:paraId="55838B6C" w14:textId="77777777" w:rsidR="004149AF" w:rsidRPr="004149AF" w:rsidRDefault="004149AF" w:rsidP="006429C8">
            <w:pPr>
              <w:pStyle w:val="ListParagraph"/>
              <w:numPr>
                <w:ilvl w:val="0"/>
                <w:numId w:val="5"/>
              </w:numPr>
              <w:autoSpaceDE w:val="0"/>
              <w:autoSpaceDN w:val="0"/>
              <w:adjustRightInd w:val="0"/>
              <w:rPr>
                <w:rFonts w:asciiTheme="minorHAnsi" w:hAnsiTheme="minorHAnsi"/>
                <w:szCs w:val="24"/>
              </w:rPr>
            </w:pPr>
            <w:r w:rsidRPr="004149AF">
              <w:rPr>
                <w:rFonts w:asciiTheme="minorHAnsi" w:hAnsiTheme="minorHAnsi"/>
                <w:szCs w:val="24"/>
              </w:rPr>
              <w:t xml:space="preserve">References must be received from a minimum of 2 sources, one of which should be from a previous or current landlord. </w:t>
            </w:r>
          </w:p>
          <w:p w14:paraId="3288982F" w14:textId="77777777" w:rsidR="004149AF" w:rsidRPr="004149AF" w:rsidRDefault="004149AF" w:rsidP="004149AF">
            <w:pPr>
              <w:autoSpaceDE w:val="0"/>
              <w:autoSpaceDN w:val="0"/>
              <w:adjustRightInd w:val="0"/>
              <w:rPr>
                <w:rFonts w:asciiTheme="minorHAnsi" w:hAnsiTheme="minorHAnsi"/>
                <w:szCs w:val="24"/>
              </w:rPr>
            </w:pPr>
          </w:p>
          <w:p w14:paraId="3D4316C5" w14:textId="56A1CBA6" w:rsidR="004149AF" w:rsidRPr="004149AF" w:rsidRDefault="004149AF" w:rsidP="006429C8">
            <w:pPr>
              <w:pStyle w:val="ListParagraph"/>
              <w:numPr>
                <w:ilvl w:val="0"/>
                <w:numId w:val="5"/>
              </w:numPr>
              <w:autoSpaceDE w:val="0"/>
              <w:autoSpaceDN w:val="0"/>
              <w:adjustRightInd w:val="0"/>
              <w:rPr>
                <w:rFonts w:asciiTheme="minorHAnsi" w:hAnsiTheme="minorHAnsi"/>
                <w:szCs w:val="24"/>
              </w:rPr>
            </w:pPr>
            <w:r w:rsidRPr="004149AF">
              <w:rPr>
                <w:rFonts w:asciiTheme="minorHAnsi" w:hAnsiTheme="minorHAnsi"/>
                <w:szCs w:val="24"/>
              </w:rPr>
              <w:t xml:space="preserve">Applicants </w:t>
            </w:r>
            <w:r w:rsidR="00BA76FC">
              <w:rPr>
                <w:rFonts w:asciiTheme="minorHAnsi" w:hAnsiTheme="minorHAnsi"/>
                <w:szCs w:val="24"/>
              </w:rPr>
              <w:t>must be able to provide a full 3</w:t>
            </w:r>
            <w:r w:rsidRPr="004149AF">
              <w:rPr>
                <w:rFonts w:asciiTheme="minorHAnsi" w:hAnsiTheme="minorHAnsi"/>
                <w:szCs w:val="24"/>
              </w:rPr>
              <w:t xml:space="preserve"> years address history for referencing purposes. </w:t>
            </w:r>
          </w:p>
          <w:p w14:paraId="51CD5949" w14:textId="77777777" w:rsidR="004149AF" w:rsidRPr="004149AF" w:rsidRDefault="004149AF" w:rsidP="004149AF">
            <w:pPr>
              <w:autoSpaceDE w:val="0"/>
              <w:autoSpaceDN w:val="0"/>
              <w:adjustRightInd w:val="0"/>
              <w:rPr>
                <w:rFonts w:asciiTheme="minorHAnsi" w:hAnsiTheme="minorHAnsi"/>
                <w:szCs w:val="24"/>
              </w:rPr>
            </w:pPr>
          </w:p>
          <w:p w14:paraId="4DE71791" w14:textId="77777777" w:rsidR="004149AF" w:rsidRPr="004149AF" w:rsidRDefault="004149AF" w:rsidP="006429C8">
            <w:pPr>
              <w:pStyle w:val="ListParagraph"/>
              <w:numPr>
                <w:ilvl w:val="0"/>
                <w:numId w:val="5"/>
              </w:numPr>
              <w:autoSpaceDE w:val="0"/>
              <w:autoSpaceDN w:val="0"/>
              <w:adjustRightInd w:val="0"/>
              <w:rPr>
                <w:rFonts w:asciiTheme="minorHAnsi" w:hAnsiTheme="minorHAnsi"/>
                <w:szCs w:val="24"/>
              </w:rPr>
            </w:pPr>
            <w:r w:rsidRPr="004149AF">
              <w:rPr>
                <w:rFonts w:asciiTheme="minorHAnsi" w:hAnsiTheme="minorHAnsi"/>
                <w:szCs w:val="24"/>
              </w:rPr>
              <w:t>Any applicant who is known to have been the perpetrator of violent or anti-social behaviour or any other form of nuisance will be refused accommodation in the area.</w:t>
            </w:r>
          </w:p>
          <w:p w14:paraId="357FEB8B" w14:textId="77777777" w:rsidR="004149AF" w:rsidRPr="004149AF" w:rsidRDefault="004149AF" w:rsidP="004149AF">
            <w:pPr>
              <w:autoSpaceDE w:val="0"/>
              <w:autoSpaceDN w:val="0"/>
              <w:adjustRightInd w:val="0"/>
              <w:rPr>
                <w:rFonts w:asciiTheme="minorHAnsi" w:hAnsiTheme="minorHAnsi"/>
                <w:szCs w:val="24"/>
              </w:rPr>
            </w:pPr>
          </w:p>
          <w:p w14:paraId="077C137C" w14:textId="1B9FCC89" w:rsidR="004149AF" w:rsidRPr="006429C8" w:rsidRDefault="006429C8" w:rsidP="006429C8">
            <w:pPr>
              <w:pStyle w:val="ListParagraph"/>
              <w:numPr>
                <w:ilvl w:val="0"/>
                <w:numId w:val="5"/>
              </w:numPr>
              <w:autoSpaceDE w:val="0"/>
              <w:autoSpaceDN w:val="0"/>
              <w:rPr>
                <w:rFonts w:ascii="Calibri" w:hAnsi="Calibri" w:cs="Calibri"/>
              </w:rPr>
            </w:pPr>
            <w:r>
              <w:rPr>
                <w:rFonts w:ascii="Calibri" w:hAnsi="Calibri" w:cs="Calibri"/>
              </w:rPr>
              <w:t>Applicants with a history of drug or alcohol abuse will need to prove that they have been engaging with support for a minimum of 6 consecutive months, and provide a satisfactory reference from their support service confirming that they have not suffered any relapse within the same period.</w:t>
            </w:r>
            <w:r>
              <w:rPr>
                <w:rStyle w:val="CommentReference"/>
                <w:rFonts w:ascii="Calibri" w:hAnsi="Calibri" w:cs="Calibri"/>
              </w:rPr>
              <w:t xml:space="preserve"> </w:t>
            </w:r>
          </w:p>
          <w:p w14:paraId="31BC47E1" w14:textId="77777777" w:rsidR="00DA76ED" w:rsidRPr="00DA76ED" w:rsidRDefault="00DA76ED" w:rsidP="00DA76ED">
            <w:pPr>
              <w:pStyle w:val="ListParagraph"/>
              <w:rPr>
                <w:rFonts w:asciiTheme="minorHAnsi" w:hAnsiTheme="minorHAnsi"/>
                <w:szCs w:val="24"/>
              </w:rPr>
            </w:pPr>
          </w:p>
          <w:p w14:paraId="590F0EEC" w14:textId="018B38AB" w:rsidR="00DA76ED" w:rsidRPr="004149AF" w:rsidRDefault="00DA76ED" w:rsidP="006429C8">
            <w:pPr>
              <w:pStyle w:val="ListParagraph"/>
              <w:numPr>
                <w:ilvl w:val="0"/>
                <w:numId w:val="5"/>
              </w:numPr>
              <w:autoSpaceDE w:val="0"/>
              <w:autoSpaceDN w:val="0"/>
              <w:adjustRightInd w:val="0"/>
              <w:rPr>
                <w:rFonts w:asciiTheme="minorHAnsi" w:hAnsiTheme="minorHAnsi"/>
                <w:szCs w:val="24"/>
              </w:rPr>
            </w:pPr>
            <w:r>
              <w:rPr>
                <w:rFonts w:asciiTheme="minorHAnsi" w:hAnsiTheme="minorHAnsi"/>
                <w:szCs w:val="24"/>
              </w:rPr>
              <w:t>Any applicant who is known to have a general tenancy support requirement will need to prove that they are effectively engaging with support services in order to help their ability to maintain a tenancy.</w:t>
            </w:r>
          </w:p>
          <w:p w14:paraId="741FE83F" w14:textId="77777777" w:rsidR="000362B3" w:rsidRPr="00D5145D" w:rsidRDefault="000362B3" w:rsidP="00C76610">
            <w:pPr>
              <w:rPr>
                <w:rFonts w:asciiTheme="minorHAnsi" w:hAnsiTheme="minorHAnsi"/>
                <w:szCs w:val="24"/>
              </w:rPr>
            </w:pPr>
          </w:p>
        </w:tc>
      </w:tr>
    </w:tbl>
    <w:p w14:paraId="188C4D8A" w14:textId="77777777" w:rsidR="00B07101" w:rsidRPr="00D5145D" w:rsidRDefault="00B07101" w:rsidP="000362B3">
      <w:pPr>
        <w:rPr>
          <w:rFonts w:asciiTheme="minorHAnsi" w:hAnsiTheme="minorHAnsi"/>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none" w:sz="0" w:space="0" w:color="auto"/>
        </w:tblBorders>
        <w:tblLook w:val="04A0" w:firstRow="1" w:lastRow="0" w:firstColumn="1" w:lastColumn="0" w:noHBand="0" w:noVBand="1"/>
      </w:tblPr>
      <w:tblGrid>
        <w:gridCol w:w="2320"/>
        <w:gridCol w:w="8450"/>
      </w:tblGrid>
      <w:tr w:rsidR="000362B3" w:rsidRPr="00D5145D" w14:paraId="27780F61" w14:textId="77777777" w:rsidTr="00090449">
        <w:tc>
          <w:tcPr>
            <w:tcW w:w="2376" w:type="dxa"/>
            <w:shd w:val="clear" w:color="auto" w:fill="92D050"/>
          </w:tcPr>
          <w:p w14:paraId="59876014" w14:textId="6B555025" w:rsidR="000362B3" w:rsidRPr="00D5145D" w:rsidRDefault="00EE30D4" w:rsidP="000362B3">
            <w:pPr>
              <w:jc w:val="center"/>
              <w:rPr>
                <w:rFonts w:asciiTheme="minorHAnsi" w:hAnsiTheme="minorHAnsi"/>
                <w:b/>
                <w:color w:val="FFFFFF" w:themeColor="background1"/>
                <w:szCs w:val="24"/>
              </w:rPr>
            </w:pPr>
            <w:r>
              <w:rPr>
                <w:rFonts w:asciiTheme="minorHAnsi" w:hAnsiTheme="minorHAnsi"/>
                <w:b/>
                <w:color w:val="FFFFFF" w:themeColor="background1"/>
                <w:szCs w:val="24"/>
              </w:rPr>
              <w:t>6</w:t>
            </w:r>
          </w:p>
        </w:tc>
        <w:tc>
          <w:tcPr>
            <w:tcW w:w="8640" w:type="dxa"/>
            <w:shd w:val="clear" w:color="auto" w:fill="92D050"/>
          </w:tcPr>
          <w:p w14:paraId="397DBAE7" w14:textId="77777777" w:rsidR="000362B3" w:rsidRPr="00D5145D" w:rsidRDefault="000362B3" w:rsidP="000362B3">
            <w:pPr>
              <w:rPr>
                <w:rFonts w:asciiTheme="minorHAnsi" w:hAnsiTheme="minorHAnsi"/>
                <w:b/>
                <w:color w:val="FFFFFF" w:themeColor="background1"/>
                <w:szCs w:val="24"/>
              </w:rPr>
            </w:pPr>
            <w:r w:rsidRPr="00D5145D">
              <w:rPr>
                <w:rFonts w:asciiTheme="minorHAnsi" w:hAnsiTheme="minorHAnsi"/>
                <w:b/>
                <w:color w:val="FFFFFF" w:themeColor="background1"/>
                <w:szCs w:val="24"/>
              </w:rPr>
              <w:t>Communication Plan</w:t>
            </w:r>
          </w:p>
        </w:tc>
      </w:tr>
      <w:tr w:rsidR="000362B3" w:rsidRPr="00D5145D" w14:paraId="6EF05555" w14:textId="77777777" w:rsidTr="00090449">
        <w:tc>
          <w:tcPr>
            <w:tcW w:w="11016" w:type="dxa"/>
            <w:gridSpan w:val="2"/>
          </w:tcPr>
          <w:p w14:paraId="43F2BF73" w14:textId="466B486A" w:rsidR="000362B3" w:rsidRDefault="000362B3" w:rsidP="000362B3">
            <w:pPr>
              <w:autoSpaceDE w:val="0"/>
              <w:autoSpaceDN w:val="0"/>
              <w:adjustRightInd w:val="0"/>
              <w:rPr>
                <w:rFonts w:asciiTheme="minorHAnsi" w:hAnsiTheme="minorHAnsi"/>
                <w:szCs w:val="24"/>
              </w:rPr>
            </w:pPr>
            <w:r w:rsidRPr="00D5145D">
              <w:rPr>
                <w:rFonts w:asciiTheme="minorHAnsi" w:hAnsiTheme="minorHAnsi"/>
                <w:szCs w:val="24"/>
              </w:rPr>
              <w:t xml:space="preserve">It is important that this </w:t>
            </w:r>
            <w:r w:rsidR="004149AF">
              <w:rPr>
                <w:rFonts w:asciiTheme="minorHAnsi" w:hAnsiTheme="minorHAnsi"/>
                <w:szCs w:val="24"/>
              </w:rPr>
              <w:t xml:space="preserve">Local </w:t>
            </w:r>
            <w:r w:rsidR="00B07101">
              <w:rPr>
                <w:rFonts w:asciiTheme="minorHAnsi" w:hAnsiTheme="minorHAnsi"/>
                <w:szCs w:val="24"/>
              </w:rPr>
              <w:t xml:space="preserve">Lettings </w:t>
            </w:r>
            <w:r w:rsidRPr="00D5145D">
              <w:rPr>
                <w:rFonts w:asciiTheme="minorHAnsi" w:hAnsiTheme="minorHAnsi"/>
                <w:szCs w:val="24"/>
              </w:rPr>
              <w:t>Policy</w:t>
            </w:r>
            <w:r w:rsidR="004149AF">
              <w:rPr>
                <w:rFonts w:asciiTheme="minorHAnsi" w:hAnsiTheme="minorHAnsi"/>
                <w:szCs w:val="24"/>
              </w:rPr>
              <w:t xml:space="preserve"> for </w:t>
            </w:r>
            <w:r w:rsidR="00BA76FC">
              <w:rPr>
                <w:rFonts w:asciiTheme="minorHAnsi" w:hAnsiTheme="minorHAnsi"/>
                <w:szCs w:val="24"/>
              </w:rPr>
              <w:t>Wakefield and district outliers</w:t>
            </w:r>
            <w:r w:rsidRPr="00D5145D">
              <w:rPr>
                <w:rFonts w:asciiTheme="minorHAnsi" w:hAnsiTheme="minorHAnsi"/>
                <w:szCs w:val="24"/>
              </w:rPr>
              <w:t xml:space="preserve"> is </w:t>
            </w:r>
            <w:r w:rsidR="009C74B5">
              <w:rPr>
                <w:rFonts w:asciiTheme="minorHAnsi" w:hAnsiTheme="minorHAnsi"/>
                <w:szCs w:val="24"/>
              </w:rPr>
              <w:t xml:space="preserve">communicated to </w:t>
            </w:r>
            <w:r w:rsidRPr="00D5145D">
              <w:rPr>
                <w:rFonts w:asciiTheme="minorHAnsi" w:hAnsiTheme="minorHAnsi"/>
                <w:szCs w:val="24"/>
              </w:rPr>
              <w:t>customers</w:t>
            </w:r>
            <w:r w:rsidR="009C74B5">
              <w:rPr>
                <w:rFonts w:asciiTheme="minorHAnsi" w:hAnsiTheme="minorHAnsi"/>
                <w:szCs w:val="24"/>
              </w:rPr>
              <w:t xml:space="preserve"> and stakeholders</w:t>
            </w:r>
            <w:r w:rsidRPr="00D5145D">
              <w:rPr>
                <w:rFonts w:asciiTheme="minorHAnsi" w:hAnsiTheme="minorHAnsi"/>
                <w:szCs w:val="24"/>
              </w:rPr>
              <w:t xml:space="preserve">.  </w:t>
            </w:r>
          </w:p>
          <w:p w14:paraId="0B8EE8B0" w14:textId="77777777" w:rsidR="00805BBC" w:rsidRPr="00D5145D" w:rsidRDefault="00805BBC" w:rsidP="000362B3">
            <w:pPr>
              <w:autoSpaceDE w:val="0"/>
              <w:autoSpaceDN w:val="0"/>
              <w:adjustRightInd w:val="0"/>
              <w:rPr>
                <w:rFonts w:asciiTheme="minorHAnsi" w:hAnsiTheme="minorHAnsi"/>
                <w:szCs w:val="24"/>
              </w:rPr>
            </w:pPr>
          </w:p>
          <w:p w14:paraId="52A775FE" w14:textId="77777777" w:rsidR="000362B3" w:rsidRPr="00D5145D" w:rsidRDefault="000362B3" w:rsidP="000362B3">
            <w:pPr>
              <w:autoSpaceDE w:val="0"/>
              <w:autoSpaceDN w:val="0"/>
              <w:adjustRightInd w:val="0"/>
              <w:rPr>
                <w:rFonts w:asciiTheme="minorHAnsi" w:hAnsiTheme="minorHAnsi"/>
                <w:szCs w:val="24"/>
              </w:rPr>
            </w:pPr>
            <w:r w:rsidRPr="00D5145D">
              <w:rPr>
                <w:rFonts w:asciiTheme="minorHAnsi" w:hAnsiTheme="minorHAnsi"/>
                <w:szCs w:val="24"/>
              </w:rPr>
              <w:t>We will:</w:t>
            </w:r>
          </w:p>
          <w:p w14:paraId="7D667B98" w14:textId="666E9134" w:rsidR="000362B3" w:rsidRDefault="004149AF" w:rsidP="005E230C">
            <w:pPr>
              <w:pStyle w:val="ListParagraph"/>
              <w:numPr>
                <w:ilvl w:val="0"/>
                <w:numId w:val="3"/>
              </w:numPr>
              <w:autoSpaceDE w:val="0"/>
              <w:autoSpaceDN w:val="0"/>
              <w:adjustRightInd w:val="0"/>
              <w:rPr>
                <w:rFonts w:asciiTheme="minorHAnsi" w:hAnsiTheme="minorHAnsi"/>
                <w:szCs w:val="24"/>
              </w:rPr>
            </w:pPr>
            <w:r>
              <w:rPr>
                <w:rFonts w:asciiTheme="minorHAnsi" w:hAnsiTheme="minorHAnsi"/>
                <w:szCs w:val="24"/>
              </w:rPr>
              <w:t xml:space="preserve">Submit the Local </w:t>
            </w:r>
            <w:r w:rsidR="009C74B5">
              <w:rPr>
                <w:rFonts w:asciiTheme="minorHAnsi" w:hAnsiTheme="minorHAnsi"/>
                <w:szCs w:val="24"/>
              </w:rPr>
              <w:t xml:space="preserve">Lettings Policy </w:t>
            </w:r>
            <w:r>
              <w:rPr>
                <w:rFonts w:asciiTheme="minorHAnsi" w:hAnsiTheme="minorHAnsi"/>
                <w:szCs w:val="24"/>
              </w:rPr>
              <w:t xml:space="preserve">to </w:t>
            </w:r>
            <w:r w:rsidR="00BA76FC">
              <w:rPr>
                <w:rFonts w:asciiTheme="minorHAnsi" w:hAnsiTheme="minorHAnsi"/>
                <w:szCs w:val="24"/>
              </w:rPr>
              <w:t>Wakefield District</w:t>
            </w:r>
            <w:r>
              <w:rPr>
                <w:rFonts w:asciiTheme="minorHAnsi" w:hAnsiTheme="minorHAnsi"/>
                <w:szCs w:val="24"/>
              </w:rPr>
              <w:t xml:space="preserve"> Council to ensure that they are in</w:t>
            </w:r>
            <w:r w:rsidR="00DA76ED">
              <w:rPr>
                <w:rFonts w:asciiTheme="minorHAnsi" w:hAnsiTheme="minorHAnsi"/>
                <w:szCs w:val="24"/>
              </w:rPr>
              <w:t xml:space="preserve">formed of </w:t>
            </w:r>
            <w:r>
              <w:rPr>
                <w:rFonts w:asciiTheme="minorHAnsi" w:hAnsiTheme="minorHAnsi"/>
                <w:szCs w:val="24"/>
              </w:rPr>
              <w:t>the stipulations of the policy</w:t>
            </w:r>
            <w:r w:rsidR="009C74B5">
              <w:rPr>
                <w:rFonts w:asciiTheme="minorHAnsi" w:hAnsiTheme="minorHAnsi"/>
                <w:szCs w:val="24"/>
              </w:rPr>
              <w:t xml:space="preserve">. </w:t>
            </w:r>
          </w:p>
          <w:p w14:paraId="79B5336F" w14:textId="3F9D5D9E" w:rsidR="004149AF" w:rsidRPr="00D5145D" w:rsidRDefault="004149AF" w:rsidP="005E230C">
            <w:pPr>
              <w:pStyle w:val="ListParagraph"/>
              <w:numPr>
                <w:ilvl w:val="0"/>
                <w:numId w:val="3"/>
              </w:numPr>
              <w:autoSpaceDE w:val="0"/>
              <w:autoSpaceDN w:val="0"/>
              <w:adjustRightInd w:val="0"/>
              <w:rPr>
                <w:rFonts w:asciiTheme="minorHAnsi" w:hAnsiTheme="minorHAnsi"/>
                <w:szCs w:val="24"/>
              </w:rPr>
            </w:pPr>
            <w:r>
              <w:rPr>
                <w:rFonts w:asciiTheme="minorHAnsi" w:hAnsiTheme="minorHAnsi"/>
                <w:szCs w:val="24"/>
              </w:rPr>
              <w:t>Include the overarching details of the Local Lettings Policy in any adverts for properties within the geographical area, to ensure that applicants are given the information they need in order to decide whether to place a bid.</w:t>
            </w:r>
          </w:p>
          <w:p w14:paraId="5FA06CC1" w14:textId="7FC52E1A" w:rsidR="000362B3" w:rsidRPr="00D5145D" w:rsidRDefault="000362B3" w:rsidP="005E230C">
            <w:pPr>
              <w:pStyle w:val="ListParagraph"/>
              <w:numPr>
                <w:ilvl w:val="0"/>
                <w:numId w:val="3"/>
              </w:numPr>
              <w:autoSpaceDE w:val="0"/>
              <w:autoSpaceDN w:val="0"/>
              <w:adjustRightInd w:val="0"/>
              <w:rPr>
                <w:rFonts w:asciiTheme="minorHAnsi" w:hAnsiTheme="minorHAnsi"/>
                <w:szCs w:val="24"/>
              </w:rPr>
            </w:pPr>
            <w:r w:rsidRPr="00D5145D">
              <w:rPr>
                <w:rFonts w:asciiTheme="minorHAnsi" w:hAnsiTheme="minorHAnsi"/>
                <w:szCs w:val="24"/>
              </w:rPr>
              <w:t>Promote and communicate any changes to our</w:t>
            </w:r>
            <w:r w:rsidR="009C74B5">
              <w:rPr>
                <w:rFonts w:asciiTheme="minorHAnsi" w:hAnsiTheme="minorHAnsi"/>
                <w:szCs w:val="24"/>
              </w:rPr>
              <w:t xml:space="preserve"> </w:t>
            </w:r>
            <w:r w:rsidR="004149AF">
              <w:rPr>
                <w:rFonts w:asciiTheme="minorHAnsi" w:hAnsiTheme="minorHAnsi"/>
                <w:szCs w:val="24"/>
              </w:rPr>
              <w:t xml:space="preserve">Local </w:t>
            </w:r>
            <w:r w:rsidR="009C74B5">
              <w:rPr>
                <w:rFonts w:asciiTheme="minorHAnsi" w:hAnsiTheme="minorHAnsi"/>
                <w:szCs w:val="24"/>
              </w:rPr>
              <w:t>Lettings Policy</w:t>
            </w:r>
            <w:r w:rsidR="004149AF">
              <w:rPr>
                <w:rFonts w:asciiTheme="minorHAnsi" w:hAnsiTheme="minorHAnsi"/>
                <w:szCs w:val="24"/>
              </w:rPr>
              <w:t xml:space="preserve"> for </w:t>
            </w:r>
            <w:r w:rsidR="00BA76FC">
              <w:rPr>
                <w:rFonts w:asciiTheme="minorHAnsi" w:hAnsiTheme="minorHAnsi"/>
                <w:szCs w:val="24"/>
              </w:rPr>
              <w:t>Wakefield and district outliers</w:t>
            </w:r>
            <w:r w:rsidR="009C74B5">
              <w:rPr>
                <w:rFonts w:asciiTheme="minorHAnsi" w:hAnsiTheme="minorHAnsi"/>
                <w:szCs w:val="24"/>
              </w:rPr>
              <w:t xml:space="preserve"> </w:t>
            </w:r>
            <w:r w:rsidRPr="00D5145D">
              <w:rPr>
                <w:rFonts w:asciiTheme="minorHAnsi" w:hAnsiTheme="minorHAnsi"/>
                <w:szCs w:val="24"/>
              </w:rPr>
              <w:t xml:space="preserve">to staff and customers as necessary. </w:t>
            </w:r>
          </w:p>
          <w:p w14:paraId="28790FBE" w14:textId="2D5A3BCF" w:rsidR="000362B3" w:rsidRPr="00D5145D" w:rsidRDefault="000362B3" w:rsidP="005E230C">
            <w:pPr>
              <w:pStyle w:val="ListParagraph"/>
              <w:numPr>
                <w:ilvl w:val="0"/>
                <w:numId w:val="3"/>
              </w:numPr>
              <w:autoSpaceDE w:val="0"/>
              <w:autoSpaceDN w:val="0"/>
              <w:adjustRightInd w:val="0"/>
              <w:rPr>
                <w:rFonts w:asciiTheme="minorHAnsi" w:hAnsiTheme="minorHAnsi"/>
                <w:szCs w:val="24"/>
              </w:rPr>
            </w:pPr>
            <w:r w:rsidRPr="00D5145D">
              <w:rPr>
                <w:rFonts w:asciiTheme="minorHAnsi" w:hAnsiTheme="minorHAnsi"/>
                <w:szCs w:val="24"/>
              </w:rPr>
              <w:t>Undertake a consultation exercise with Leeds Fed</w:t>
            </w:r>
            <w:r w:rsidR="009C74B5">
              <w:rPr>
                <w:rFonts w:asciiTheme="minorHAnsi" w:hAnsiTheme="minorHAnsi"/>
                <w:szCs w:val="24"/>
              </w:rPr>
              <w:t>erated</w:t>
            </w:r>
            <w:r w:rsidRPr="00D5145D">
              <w:rPr>
                <w:rFonts w:asciiTheme="minorHAnsi" w:hAnsiTheme="minorHAnsi"/>
                <w:szCs w:val="24"/>
              </w:rPr>
              <w:t xml:space="preserve"> tenants </w:t>
            </w:r>
            <w:r w:rsidR="004149AF">
              <w:rPr>
                <w:rFonts w:asciiTheme="minorHAnsi" w:hAnsiTheme="minorHAnsi"/>
                <w:szCs w:val="24"/>
              </w:rPr>
              <w:t>within the geographical area designated by the Local Lettings Policy at the time when the policy becomes due for review</w:t>
            </w:r>
            <w:r w:rsidRPr="00D5145D">
              <w:rPr>
                <w:rFonts w:asciiTheme="minorHAnsi" w:hAnsiTheme="minorHAnsi"/>
                <w:szCs w:val="24"/>
              </w:rPr>
              <w:t xml:space="preserve">. </w:t>
            </w:r>
          </w:p>
          <w:p w14:paraId="475DA784" w14:textId="77777777" w:rsidR="000362B3" w:rsidRPr="00D5145D" w:rsidRDefault="000362B3" w:rsidP="000362B3">
            <w:pPr>
              <w:pStyle w:val="ListParagraph"/>
              <w:autoSpaceDE w:val="0"/>
              <w:autoSpaceDN w:val="0"/>
              <w:adjustRightInd w:val="0"/>
              <w:rPr>
                <w:rFonts w:asciiTheme="minorHAnsi" w:hAnsiTheme="minorHAnsi"/>
                <w:szCs w:val="24"/>
              </w:rPr>
            </w:pPr>
          </w:p>
        </w:tc>
      </w:tr>
    </w:tbl>
    <w:p w14:paraId="15068AAD" w14:textId="77777777" w:rsidR="000362B3" w:rsidRDefault="000362B3" w:rsidP="000362B3">
      <w:pPr>
        <w:rPr>
          <w:rFonts w:asciiTheme="minorHAnsi" w:hAnsiTheme="minorHAnsi"/>
          <w:szCs w:val="24"/>
        </w:rPr>
      </w:pPr>
    </w:p>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48DD4" w:themeColor="text2" w:themeTint="99"/>
        </w:tblBorders>
        <w:tblLook w:val="04A0" w:firstRow="1" w:lastRow="0" w:firstColumn="1" w:lastColumn="0" w:noHBand="0" w:noVBand="1"/>
      </w:tblPr>
      <w:tblGrid>
        <w:gridCol w:w="2319"/>
        <w:gridCol w:w="8451"/>
      </w:tblGrid>
      <w:tr w:rsidR="000362B3" w:rsidRPr="00D5145D" w14:paraId="5BE8957E" w14:textId="77777777" w:rsidTr="00090449">
        <w:tc>
          <w:tcPr>
            <w:tcW w:w="2376" w:type="dxa"/>
            <w:tcBorders>
              <w:top w:val="single" w:sz="12" w:space="0" w:color="92D050"/>
              <w:left w:val="single" w:sz="12" w:space="0" w:color="92D050"/>
              <w:bottom w:val="single" w:sz="12" w:space="0" w:color="92D050"/>
              <w:right w:val="nil"/>
            </w:tcBorders>
            <w:shd w:val="clear" w:color="auto" w:fill="92D050"/>
          </w:tcPr>
          <w:p w14:paraId="3702DECC" w14:textId="42F08444" w:rsidR="000362B3" w:rsidRPr="00D5145D" w:rsidRDefault="00EE30D4" w:rsidP="000362B3">
            <w:pPr>
              <w:jc w:val="center"/>
              <w:rPr>
                <w:rFonts w:asciiTheme="minorHAnsi" w:hAnsiTheme="minorHAnsi"/>
                <w:b/>
                <w:color w:val="FFFFFF" w:themeColor="background1"/>
                <w:szCs w:val="24"/>
              </w:rPr>
            </w:pPr>
            <w:r>
              <w:rPr>
                <w:rFonts w:asciiTheme="minorHAnsi" w:hAnsiTheme="minorHAnsi"/>
                <w:b/>
                <w:color w:val="FFFFFF" w:themeColor="background1"/>
                <w:szCs w:val="24"/>
              </w:rPr>
              <w:t>7</w:t>
            </w:r>
          </w:p>
        </w:tc>
        <w:tc>
          <w:tcPr>
            <w:tcW w:w="8640" w:type="dxa"/>
            <w:tcBorders>
              <w:top w:val="single" w:sz="12" w:space="0" w:color="92D050"/>
              <w:left w:val="nil"/>
              <w:bottom w:val="single" w:sz="12" w:space="0" w:color="92D050"/>
              <w:right w:val="single" w:sz="12" w:space="0" w:color="92D050"/>
            </w:tcBorders>
            <w:shd w:val="clear" w:color="auto" w:fill="92D050"/>
          </w:tcPr>
          <w:p w14:paraId="042A0AAF" w14:textId="77777777" w:rsidR="000362B3" w:rsidRPr="00D5145D" w:rsidRDefault="000362B3" w:rsidP="000362B3">
            <w:pPr>
              <w:rPr>
                <w:rFonts w:asciiTheme="minorHAnsi" w:hAnsiTheme="minorHAnsi"/>
                <w:b/>
                <w:color w:val="FFFFFF" w:themeColor="background1"/>
                <w:szCs w:val="24"/>
              </w:rPr>
            </w:pPr>
            <w:r w:rsidRPr="00D5145D">
              <w:rPr>
                <w:rFonts w:asciiTheme="minorHAnsi" w:hAnsiTheme="minorHAnsi"/>
                <w:b/>
                <w:color w:val="FFFFFF" w:themeColor="background1"/>
                <w:szCs w:val="24"/>
              </w:rPr>
              <w:t>Implementation</w:t>
            </w:r>
          </w:p>
        </w:tc>
      </w:tr>
      <w:tr w:rsidR="000362B3" w:rsidRPr="00D5145D" w14:paraId="16E66A12" w14:textId="77777777" w:rsidTr="00090449">
        <w:tc>
          <w:tcPr>
            <w:tcW w:w="11016" w:type="dxa"/>
            <w:gridSpan w:val="2"/>
            <w:tcBorders>
              <w:top w:val="single" w:sz="12" w:space="0" w:color="92D050"/>
              <w:left w:val="single" w:sz="12" w:space="0" w:color="92D050"/>
              <w:bottom w:val="single" w:sz="12" w:space="0" w:color="92D050"/>
              <w:right w:val="single" w:sz="12" w:space="0" w:color="92D050"/>
            </w:tcBorders>
          </w:tcPr>
          <w:p w14:paraId="04BBEC47" w14:textId="74BD7C8A" w:rsidR="000362B3" w:rsidRPr="00D5145D" w:rsidRDefault="000362B3" w:rsidP="000362B3">
            <w:pPr>
              <w:autoSpaceDE w:val="0"/>
              <w:autoSpaceDN w:val="0"/>
              <w:adjustRightInd w:val="0"/>
              <w:rPr>
                <w:rFonts w:asciiTheme="minorHAnsi" w:hAnsiTheme="minorHAnsi" w:cs="Arial"/>
                <w:szCs w:val="24"/>
              </w:rPr>
            </w:pPr>
            <w:r w:rsidRPr="00D5145D">
              <w:rPr>
                <w:rFonts w:asciiTheme="minorHAnsi" w:hAnsiTheme="minorHAnsi" w:cs="Arial"/>
                <w:szCs w:val="24"/>
              </w:rPr>
              <w:t xml:space="preserve">The </w:t>
            </w:r>
            <w:r w:rsidR="00B851A5">
              <w:rPr>
                <w:rFonts w:asciiTheme="minorHAnsi" w:hAnsiTheme="minorHAnsi" w:cs="Arial"/>
                <w:szCs w:val="24"/>
              </w:rPr>
              <w:t>Customer Services Management Team</w:t>
            </w:r>
            <w:r w:rsidR="00E93F3F">
              <w:rPr>
                <w:rFonts w:asciiTheme="minorHAnsi" w:hAnsiTheme="minorHAnsi" w:cs="Arial"/>
                <w:szCs w:val="24"/>
              </w:rPr>
              <w:t xml:space="preserve"> (CSMT)</w:t>
            </w:r>
            <w:r w:rsidRPr="00D5145D">
              <w:rPr>
                <w:rFonts w:asciiTheme="minorHAnsi" w:hAnsiTheme="minorHAnsi" w:cs="Arial"/>
                <w:szCs w:val="24"/>
              </w:rPr>
              <w:t xml:space="preserve"> are responsible for</w:t>
            </w:r>
            <w:r w:rsidR="00AF7288">
              <w:rPr>
                <w:rFonts w:asciiTheme="minorHAnsi" w:hAnsiTheme="minorHAnsi" w:cs="Arial"/>
                <w:szCs w:val="24"/>
              </w:rPr>
              <w:t xml:space="preserve"> </w:t>
            </w:r>
            <w:r w:rsidRPr="00D5145D">
              <w:rPr>
                <w:rFonts w:asciiTheme="minorHAnsi" w:hAnsiTheme="minorHAnsi" w:cs="Arial"/>
                <w:szCs w:val="24"/>
              </w:rPr>
              <w:t>ensuring that this Policy is implemented and reviewed</w:t>
            </w:r>
            <w:r w:rsidR="004149AF">
              <w:rPr>
                <w:rFonts w:asciiTheme="minorHAnsi" w:hAnsiTheme="minorHAnsi" w:cs="Arial"/>
                <w:szCs w:val="24"/>
              </w:rPr>
              <w:t>.</w:t>
            </w:r>
            <w:r w:rsidR="00A63510">
              <w:rPr>
                <w:rFonts w:asciiTheme="minorHAnsi" w:hAnsiTheme="minorHAnsi" w:cs="Arial"/>
                <w:szCs w:val="24"/>
              </w:rPr>
              <w:t xml:space="preserve">  At review, a report on the effects of the LLP will be presented to </w:t>
            </w:r>
            <w:r w:rsidR="00E93F3F">
              <w:rPr>
                <w:rFonts w:asciiTheme="minorHAnsi" w:hAnsiTheme="minorHAnsi" w:cs="Arial"/>
                <w:szCs w:val="24"/>
              </w:rPr>
              <w:t>CSMT</w:t>
            </w:r>
            <w:r w:rsidR="00A63510">
              <w:rPr>
                <w:rFonts w:asciiTheme="minorHAnsi" w:hAnsiTheme="minorHAnsi" w:cs="Arial"/>
                <w:szCs w:val="24"/>
              </w:rPr>
              <w:t xml:space="preserve"> to ensure that it remains relevant and serves a purpose to increase the sustainability of the area</w:t>
            </w:r>
            <w:r w:rsidR="00BA76FC">
              <w:rPr>
                <w:rFonts w:asciiTheme="minorHAnsi" w:hAnsiTheme="minorHAnsi" w:cs="Arial"/>
                <w:szCs w:val="24"/>
              </w:rPr>
              <w:t>(s)</w:t>
            </w:r>
            <w:r w:rsidR="00A63510">
              <w:rPr>
                <w:rFonts w:asciiTheme="minorHAnsi" w:hAnsiTheme="minorHAnsi" w:cs="Arial"/>
                <w:szCs w:val="24"/>
              </w:rPr>
              <w:t xml:space="preserve"> covered by the policy.</w:t>
            </w:r>
            <w:r w:rsidRPr="00D5145D">
              <w:rPr>
                <w:rFonts w:asciiTheme="minorHAnsi" w:hAnsiTheme="minorHAnsi" w:cs="Arial"/>
                <w:szCs w:val="24"/>
              </w:rPr>
              <w:t xml:space="preserve">  </w:t>
            </w:r>
          </w:p>
          <w:p w14:paraId="386409AE" w14:textId="77777777" w:rsidR="000362B3" w:rsidRPr="00D5145D" w:rsidRDefault="000362B3" w:rsidP="000362B3">
            <w:pPr>
              <w:autoSpaceDE w:val="0"/>
              <w:autoSpaceDN w:val="0"/>
              <w:adjustRightInd w:val="0"/>
              <w:rPr>
                <w:rFonts w:asciiTheme="minorHAnsi" w:hAnsiTheme="minorHAnsi" w:cs="Arial"/>
                <w:szCs w:val="24"/>
              </w:rPr>
            </w:pPr>
          </w:p>
          <w:p w14:paraId="70D4204A" w14:textId="77777777" w:rsidR="000362B3" w:rsidRDefault="000362B3" w:rsidP="000362B3">
            <w:pPr>
              <w:autoSpaceDE w:val="0"/>
              <w:autoSpaceDN w:val="0"/>
              <w:adjustRightInd w:val="0"/>
              <w:rPr>
                <w:rFonts w:asciiTheme="minorHAnsi" w:hAnsiTheme="minorHAnsi" w:cs="Arial"/>
                <w:szCs w:val="24"/>
              </w:rPr>
            </w:pPr>
            <w:r w:rsidRPr="00D5145D">
              <w:rPr>
                <w:rFonts w:asciiTheme="minorHAnsi" w:hAnsiTheme="minorHAnsi" w:cs="Arial"/>
                <w:szCs w:val="24"/>
              </w:rPr>
              <w:t xml:space="preserve">It is the responsibility of all Leeds Federated Housing Association staff to ensure that their work is carried out in accordance with this Policy. This will ensure that the Association’s </w:t>
            </w:r>
            <w:r w:rsidR="00B07101">
              <w:rPr>
                <w:rFonts w:asciiTheme="minorHAnsi" w:hAnsiTheme="minorHAnsi" w:cs="Arial"/>
                <w:szCs w:val="24"/>
              </w:rPr>
              <w:t>Lettings P</w:t>
            </w:r>
            <w:r w:rsidRPr="00D5145D">
              <w:rPr>
                <w:rFonts w:asciiTheme="minorHAnsi" w:hAnsiTheme="minorHAnsi" w:cs="Arial"/>
                <w:szCs w:val="24"/>
              </w:rPr>
              <w:t>olicy is delivered consistently.</w:t>
            </w:r>
          </w:p>
          <w:p w14:paraId="79FCAAE4" w14:textId="77777777" w:rsidR="00A63510" w:rsidRPr="00D5145D" w:rsidRDefault="00A63510" w:rsidP="000362B3">
            <w:pPr>
              <w:autoSpaceDE w:val="0"/>
              <w:autoSpaceDN w:val="0"/>
              <w:adjustRightInd w:val="0"/>
              <w:rPr>
                <w:rFonts w:asciiTheme="minorHAnsi" w:hAnsiTheme="minorHAnsi" w:cs="Arial"/>
                <w:szCs w:val="24"/>
              </w:rPr>
            </w:pPr>
          </w:p>
          <w:p w14:paraId="17F79702" w14:textId="354F19BB" w:rsidR="000362B3" w:rsidRDefault="000362B3" w:rsidP="006D1810">
            <w:pPr>
              <w:autoSpaceDE w:val="0"/>
              <w:autoSpaceDN w:val="0"/>
              <w:adjustRightInd w:val="0"/>
              <w:rPr>
                <w:rFonts w:asciiTheme="minorHAnsi" w:hAnsiTheme="minorHAnsi" w:cs="Arial"/>
                <w:szCs w:val="24"/>
              </w:rPr>
            </w:pPr>
            <w:r w:rsidRPr="00D5145D">
              <w:rPr>
                <w:rFonts w:asciiTheme="minorHAnsi" w:hAnsiTheme="minorHAnsi" w:cs="Arial"/>
                <w:szCs w:val="24"/>
              </w:rPr>
              <w:t xml:space="preserve">The </w:t>
            </w:r>
            <w:r w:rsidR="00A63510">
              <w:rPr>
                <w:rFonts w:asciiTheme="minorHAnsi" w:hAnsiTheme="minorHAnsi" w:cs="Arial"/>
                <w:szCs w:val="24"/>
              </w:rPr>
              <w:t xml:space="preserve">Local </w:t>
            </w:r>
            <w:r w:rsidR="00B07101">
              <w:rPr>
                <w:rFonts w:asciiTheme="minorHAnsi" w:hAnsiTheme="minorHAnsi" w:cs="Arial"/>
                <w:szCs w:val="24"/>
              </w:rPr>
              <w:t>Lettings</w:t>
            </w:r>
            <w:r w:rsidRPr="00D5145D">
              <w:rPr>
                <w:rFonts w:asciiTheme="minorHAnsi" w:hAnsiTheme="minorHAnsi" w:cs="Arial"/>
                <w:szCs w:val="24"/>
              </w:rPr>
              <w:t xml:space="preserve"> Policy </w:t>
            </w:r>
            <w:r w:rsidR="00F628B8">
              <w:rPr>
                <w:rFonts w:asciiTheme="minorHAnsi" w:hAnsiTheme="minorHAnsi" w:cs="Arial"/>
                <w:szCs w:val="24"/>
              </w:rPr>
              <w:t>Wakefield and district outliers</w:t>
            </w:r>
            <w:r w:rsidR="00A63510">
              <w:rPr>
                <w:rFonts w:asciiTheme="minorHAnsi" w:hAnsiTheme="minorHAnsi" w:cs="Arial"/>
                <w:szCs w:val="24"/>
              </w:rPr>
              <w:t xml:space="preserve"> </w:t>
            </w:r>
            <w:r w:rsidRPr="00D5145D">
              <w:rPr>
                <w:rFonts w:asciiTheme="minorHAnsi" w:hAnsiTheme="minorHAnsi" w:cs="Arial"/>
                <w:szCs w:val="24"/>
              </w:rPr>
              <w:t xml:space="preserve">will be reviewed </w:t>
            </w:r>
            <w:r w:rsidR="006D1810">
              <w:rPr>
                <w:rFonts w:asciiTheme="minorHAnsi" w:hAnsiTheme="minorHAnsi" w:cs="Arial"/>
                <w:szCs w:val="24"/>
              </w:rPr>
              <w:t>every t</w:t>
            </w:r>
            <w:r w:rsidR="005D24EE">
              <w:rPr>
                <w:rFonts w:asciiTheme="minorHAnsi" w:hAnsiTheme="minorHAnsi" w:cs="Arial"/>
                <w:szCs w:val="24"/>
              </w:rPr>
              <w:t>wo</w:t>
            </w:r>
            <w:r w:rsidR="006D1810">
              <w:rPr>
                <w:rFonts w:asciiTheme="minorHAnsi" w:hAnsiTheme="minorHAnsi" w:cs="Arial"/>
                <w:szCs w:val="24"/>
              </w:rPr>
              <w:t xml:space="preserve"> years or earlier if necessary </w:t>
            </w:r>
            <w:r w:rsidRPr="00D5145D">
              <w:rPr>
                <w:rFonts w:asciiTheme="minorHAnsi" w:hAnsiTheme="minorHAnsi" w:cs="Arial"/>
                <w:szCs w:val="24"/>
              </w:rPr>
              <w:t>to ensure it is meeting its overall purpose and supporting the goals of the Corporate Plan.</w:t>
            </w:r>
          </w:p>
          <w:p w14:paraId="14E7AD0C" w14:textId="21342C24" w:rsidR="00E919D1" w:rsidRPr="00D5145D" w:rsidRDefault="00E919D1" w:rsidP="006D1810">
            <w:pPr>
              <w:autoSpaceDE w:val="0"/>
              <w:autoSpaceDN w:val="0"/>
              <w:adjustRightInd w:val="0"/>
              <w:rPr>
                <w:rFonts w:asciiTheme="minorHAnsi" w:hAnsiTheme="minorHAnsi" w:cs="Arial"/>
                <w:szCs w:val="24"/>
              </w:rPr>
            </w:pPr>
          </w:p>
        </w:tc>
      </w:tr>
    </w:tbl>
    <w:p w14:paraId="207FFDAC" w14:textId="77777777" w:rsidR="000362B3" w:rsidRPr="00D5145D" w:rsidRDefault="000362B3" w:rsidP="000362B3">
      <w:pPr>
        <w:tabs>
          <w:tab w:val="num" w:pos="709"/>
          <w:tab w:val="left" w:pos="1650"/>
        </w:tabs>
        <w:jc w:val="both"/>
        <w:rPr>
          <w:rFonts w:asciiTheme="minorHAnsi" w:hAnsiTheme="minorHAnsi" w:cs="Arial"/>
          <w:b/>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none" w:sz="0" w:space="0" w:color="auto"/>
        </w:tblBorders>
        <w:tblLook w:val="04A0" w:firstRow="1" w:lastRow="0" w:firstColumn="1" w:lastColumn="0" w:noHBand="0" w:noVBand="1"/>
      </w:tblPr>
      <w:tblGrid>
        <w:gridCol w:w="2323"/>
        <w:gridCol w:w="8447"/>
      </w:tblGrid>
      <w:tr w:rsidR="000362B3" w:rsidRPr="00D5145D" w14:paraId="0A626E48" w14:textId="77777777" w:rsidTr="00090449">
        <w:tc>
          <w:tcPr>
            <w:tcW w:w="2376" w:type="dxa"/>
            <w:shd w:val="clear" w:color="auto" w:fill="92D050"/>
          </w:tcPr>
          <w:p w14:paraId="69336DBF" w14:textId="43C8988E" w:rsidR="000362B3" w:rsidRPr="00D5145D" w:rsidRDefault="00EE30D4" w:rsidP="000362B3">
            <w:pPr>
              <w:jc w:val="center"/>
              <w:rPr>
                <w:rFonts w:asciiTheme="minorHAnsi" w:hAnsiTheme="minorHAnsi"/>
                <w:b/>
                <w:color w:val="FFFFFF" w:themeColor="background1"/>
                <w:szCs w:val="24"/>
              </w:rPr>
            </w:pPr>
            <w:r>
              <w:rPr>
                <w:rFonts w:asciiTheme="minorHAnsi" w:hAnsiTheme="minorHAnsi"/>
                <w:b/>
                <w:color w:val="FFFFFF" w:themeColor="background1"/>
                <w:szCs w:val="24"/>
              </w:rPr>
              <w:t>8</w:t>
            </w:r>
          </w:p>
        </w:tc>
        <w:tc>
          <w:tcPr>
            <w:tcW w:w="8640" w:type="dxa"/>
            <w:shd w:val="clear" w:color="auto" w:fill="92D050"/>
          </w:tcPr>
          <w:p w14:paraId="7506366A" w14:textId="77777777" w:rsidR="000362B3" w:rsidRPr="00D5145D" w:rsidRDefault="000362B3" w:rsidP="000362B3">
            <w:pPr>
              <w:rPr>
                <w:rFonts w:asciiTheme="minorHAnsi" w:hAnsiTheme="minorHAnsi"/>
                <w:b/>
                <w:color w:val="FFFFFF" w:themeColor="background1"/>
                <w:szCs w:val="24"/>
              </w:rPr>
            </w:pPr>
            <w:r w:rsidRPr="00D5145D">
              <w:rPr>
                <w:rFonts w:asciiTheme="minorHAnsi" w:hAnsiTheme="minorHAnsi"/>
                <w:b/>
                <w:color w:val="FFFFFF" w:themeColor="background1"/>
                <w:szCs w:val="24"/>
              </w:rPr>
              <w:t>Monitoring, evaluation and reporting</w:t>
            </w:r>
          </w:p>
        </w:tc>
      </w:tr>
      <w:tr w:rsidR="000362B3" w:rsidRPr="00D5145D" w14:paraId="761BA689" w14:textId="77777777" w:rsidTr="00090449">
        <w:tc>
          <w:tcPr>
            <w:tcW w:w="11016" w:type="dxa"/>
            <w:gridSpan w:val="2"/>
          </w:tcPr>
          <w:p w14:paraId="7D2D77AD" w14:textId="1908A8C5" w:rsidR="009C74B5" w:rsidRDefault="000362B3" w:rsidP="000362B3">
            <w:pPr>
              <w:autoSpaceDE w:val="0"/>
              <w:autoSpaceDN w:val="0"/>
              <w:adjustRightInd w:val="0"/>
              <w:rPr>
                <w:rFonts w:asciiTheme="minorHAnsi" w:hAnsiTheme="minorHAnsi" w:cs="Arial"/>
                <w:szCs w:val="24"/>
              </w:rPr>
            </w:pPr>
            <w:r w:rsidRPr="00D5145D">
              <w:rPr>
                <w:rFonts w:asciiTheme="minorHAnsi" w:hAnsiTheme="minorHAnsi" w:cs="Arial"/>
                <w:szCs w:val="24"/>
              </w:rPr>
              <w:t>Leeds Federated Housing Association will monitor, evaluate and report on the activities undertaken to deliver this Policy, in particular, through</w:t>
            </w:r>
            <w:r w:rsidR="009C74B5">
              <w:rPr>
                <w:rFonts w:asciiTheme="minorHAnsi" w:hAnsiTheme="minorHAnsi" w:cs="Arial"/>
                <w:szCs w:val="24"/>
              </w:rPr>
              <w:t>:</w:t>
            </w:r>
          </w:p>
          <w:p w14:paraId="698E1C58" w14:textId="1097BF75" w:rsidR="00A63510" w:rsidRDefault="00A63510" w:rsidP="00F628B8">
            <w:pPr>
              <w:pStyle w:val="ListParagraph"/>
              <w:numPr>
                <w:ilvl w:val="0"/>
                <w:numId w:val="4"/>
              </w:numPr>
              <w:autoSpaceDE w:val="0"/>
              <w:autoSpaceDN w:val="0"/>
              <w:adjustRightInd w:val="0"/>
              <w:rPr>
                <w:rFonts w:asciiTheme="minorHAnsi" w:hAnsiTheme="minorHAnsi" w:cs="Arial"/>
                <w:szCs w:val="24"/>
              </w:rPr>
            </w:pPr>
            <w:r>
              <w:rPr>
                <w:rFonts w:asciiTheme="minorHAnsi" w:hAnsiTheme="minorHAnsi" w:cs="Arial"/>
                <w:szCs w:val="24"/>
              </w:rPr>
              <w:t>“Reasons for Leaving” as part of the tenancy termination process</w:t>
            </w:r>
          </w:p>
          <w:p w14:paraId="0BE24FD0" w14:textId="703C6D8C" w:rsidR="00A63510" w:rsidRDefault="00A63510" w:rsidP="00F628B8">
            <w:pPr>
              <w:pStyle w:val="ListParagraph"/>
              <w:numPr>
                <w:ilvl w:val="0"/>
                <w:numId w:val="4"/>
              </w:numPr>
              <w:autoSpaceDE w:val="0"/>
              <w:autoSpaceDN w:val="0"/>
              <w:adjustRightInd w:val="0"/>
              <w:rPr>
                <w:rFonts w:asciiTheme="minorHAnsi" w:hAnsiTheme="minorHAnsi" w:cs="Arial"/>
                <w:szCs w:val="24"/>
              </w:rPr>
            </w:pPr>
            <w:r>
              <w:rPr>
                <w:rFonts w:asciiTheme="minorHAnsi" w:hAnsiTheme="minorHAnsi" w:cs="Arial"/>
                <w:szCs w:val="24"/>
              </w:rPr>
              <w:t>ASB levels within the geographical area</w:t>
            </w:r>
          </w:p>
          <w:p w14:paraId="041C8B00" w14:textId="0C436512" w:rsidR="00A63510" w:rsidRDefault="00A63510" w:rsidP="00F628B8">
            <w:pPr>
              <w:pStyle w:val="ListParagraph"/>
              <w:numPr>
                <w:ilvl w:val="0"/>
                <w:numId w:val="4"/>
              </w:numPr>
              <w:autoSpaceDE w:val="0"/>
              <w:autoSpaceDN w:val="0"/>
              <w:adjustRightInd w:val="0"/>
              <w:rPr>
                <w:rFonts w:asciiTheme="minorHAnsi" w:hAnsiTheme="minorHAnsi" w:cs="Arial"/>
                <w:szCs w:val="24"/>
              </w:rPr>
            </w:pPr>
            <w:r>
              <w:rPr>
                <w:rFonts w:asciiTheme="minorHAnsi" w:hAnsiTheme="minorHAnsi" w:cs="Arial"/>
                <w:szCs w:val="24"/>
              </w:rPr>
              <w:t xml:space="preserve">Satisfaction levels from various survey results </w:t>
            </w:r>
          </w:p>
          <w:p w14:paraId="668CDBD8" w14:textId="6825E4CC" w:rsidR="00A63510" w:rsidRDefault="00A63510" w:rsidP="00F628B8">
            <w:pPr>
              <w:pStyle w:val="ListParagraph"/>
              <w:numPr>
                <w:ilvl w:val="0"/>
                <w:numId w:val="4"/>
              </w:numPr>
              <w:autoSpaceDE w:val="0"/>
              <w:autoSpaceDN w:val="0"/>
              <w:adjustRightInd w:val="0"/>
              <w:rPr>
                <w:rFonts w:asciiTheme="minorHAnsi" w:hAnsiTheme="minorHAnsi" w:cs="Arial"/>
                <w:szCs w:val="24"/>
              </w:rPr>
            </w:pPr>
            <w:r>
              <w:rPr>
                <w:rFonts w:asciiTheme="minorHAnsi" w:hAnsiTheme="minorHAnsi" w:cs="Arial"/>
                <w:szCs w:val="24"/>
              </w:rPr>
              <w:t>Feedback from the customer service visit programme in the area</w:t>
            </w:r>
            <w:r w:rsidR="007332F9">
              <w:rPr>
                <w:rFonts w:asciiTheme="minorHAnsi" w:hAnsiTheme="minorHAnsi" w:cs="Arial"/>
                <w:szCs w:val="24"/>
              </w:rPr>
              <w:t xml:space="preserve"> (if in operation)</w:t>
            </w:r>
          </w:p>
          <w:p w14:paraId="44DACD74" w14:textId="69787F7A" w:rsidR="00A63510" w:rsidRDefault="00A63510" w:rsidP="00F628B8">
            <w:pPr>
              <w:pStyle w:val="ListParagraph"/>
              <w:numPr>
                <w:ilvl w:val="0"/>
                <w:numId w:val="4"/>
              </w:numPr>
              <w:autoSpaceDE w:val="0"/>
              <w:autoSpaceDN w:val="0"/>
              <w:adjustRightInd w:val="0"/>
              <w:rPr>
                <w:rFonts w:asciiTheme="minorHAnsi" w:hAnsiTheme="minorHAnsi" w:cs="Arial"/>
                <w:szCs w:val="24"/>
              </w:rPr>
            </w:pPr>
            <w:r>
              <w:rPr>
                <w:rFonts w:asciiTheme="minorHAnsi" w:hAnsiTheme="minorHAnsi" w:cs="Arial"/>
                <w:szCs w:val="24"/>
              </w:rPr>
              <w:t>Number of tenancy terminations in the area</w:t>
            </w:r>
          </w:p>
          <w:p w14:paraId="4EBF6826" w14:textId="200B6B2C" w:rsidR="00A63510" w:rsidRDefault="00A63510" w:rsidP="00F628B8">
            <w:pPr>
              <w:pStyle w:val="ListParagraph"/>
              <w:numPr>
                <w:ilvl w:val="0"/>
                <w:numId w:val="4"/>
              </w:numPr>
              <w:autoSpaceDE w:val="0"/>
              <w:autoSpaceDN w:val="0"/>
              <w:adjustRightInd w:val="0"/>
              <w:rPr>
                <w:rFonts w:asciiTheme="minorHAnsi" w:hAnsiTheme="minorHAnsi" w:cs="Arial"/>
                <w:szCs w:val="24"/>
              </w:rPr>
            </w:pPr>
            <w:r>
              <w:rPr>
                <w:rFonts w:asciiTheme="minorHAnsi" w:hAnsiTheme="minorHAnsi" w:cs="Arial"/>
                <w:szCs w:val="24"/>
              </w:rPr>
              <w:t>Level of demand for properties in the area</w:t>
            </w:r>
          </w:p>
          <w:p w14:paraId="3DA8218B" w14:textId="77777777" w:rsidR="006B46A2" w:rsidRPr="00D5145D" w:rsidRDefault="006B46A2" w:rsidP="00A63510">
            <w:pPr>
              <w:autoSpaceDE w:val="0"/>
              <w:autoSpaceDN w:val="0"/>
              <w:adjustRightInd w:val="0"/>
              <w:rPr>
                <w:rFonts w:asciiTheme="minorHAnsi" w:hAnsiTheme="minorHAnsi" w:cs="Arial"/>
                <w:szCs w:val="24"/>
              </w:rPr>
            </w:pPr>
          </w:p>
        </w:tc>
      </w:tr>
    </w:tbl>
    <w:p w14:paraId="1DD0DC31" w14:textId="77777777" w:rsidR="000362B3" w:rsidRPr="00D5145D" w:rsidRDefault="000362B3" w:rsidP="000362B3">
      <w:pPr>
        <w:ind w:left="-142"/>
        <w:rPr>
          <w:rFonts w:asciiTheme="minorHAnsi" w:hAnsiTheme="minorHAnsi" w:cs="Arial"/>
          <w:szCs w:val="24"/>
        </w:rPr>
      </w:pPr>
    </w:p>
    <w:tbl>
      <w:tblPr>
        <w:tblStyle w:val="TableGrid"/>
        <w:tblW w:w="0" w:type="auto"/>
        <w:tblBorders>
          <w:top w:val="single" w:sz="12" w:space="0" w:color="92D050"/>
          <w:left w:val="single" w:sz="12" w:space="0" w:color="92D050"/>
          <w:bottom w:val="single" w:sz="12" w:space="0" w:color="92D050"/>
          <w:right w:val="single" w:sz="12" w:space="0" w:color="92D050"/>
          <w:insideH w:val="single" w:sz="12" w:space="0" w:color="92D050"/>
          <w:insideV w:val="none" w:sz="0" w:space="0" w:color="auto"/>
        </w:tblBorders>
        <w:tblLook w:val="04A0" w:firstRow="1" w:lastRow="0" w:firstColumn="1" w:lastColumn="0" w:noHBand="0" w:noVBand="1"/>
      </w:tblPr>
      <w:tblGrid>
        <w:gridCol w:w="2324"/>
        <w:gridCol w:w="8446"/>
      </w:tblGrid>
      <w:tr w:rsidR="000362B3" w:rsidRPr="00D5145D" w14:paraId="08F1C63A" w14:textId="77777777" w:rsidTr="00090449">
        <w:tc>
          <w:tcPr>
            <w:tcW w:w="2376" w:type="dxa"/>
            <w:shd w:val="clear" w:color="auto" w:fill="92D050"/>
          </w:tcPr>
          <w:p w14:paraId="709C188B" w14:textId="41E3C7F7" w:rsidR="000362B3" w:rsidRPr="00D5145D" w:rsidRDefault="00EE30D4" w:rsidP="000362B3">
            <w:pPr>
              <w:jc w:val="center"/>
              <w:rPr>
                <w:rFonts w:asciiTheme="minorHAnsi" w:hAnsiTheme="minorHAnsi"/>
                <w:b/>
                <w:color w:val="FFFFFF" w:themeColor="background1"/>
                <w:szCs w:val="24"/>
              </w:rPr>
            </w:pPr>
            <w:r>
              <w:rPr>
                <w:rFonts w:asciiTheme="minorHAnsi" w:hAnsiTheme="minorHAnsi"/>
                <w:b/>
                <w:color w:val="FFFFFF" w:themeColor="background1"/>
                <w:szCs w:val="24"/>
              </w:rPr>
              <w:t>9</w:t>
            </w:r>
          </w:p>
        </w:tc>
        <w:tc>
          <w:tcPr>
            <w:tcW w:w="8640" w:type="dxa"/>
            <w:shd w:val="clear" w:color="auto" w:fill="92D050"/>
          </w:tcPr>
          <w:p w14:paraId="2F66770C" w14:textId="77777777" w:rsidR="000362B3" w:rsidRPr="00D5145D" w:rsidRDefault="000362B3" w:rsidP="000362B3">
            <w:pPr>
              <w:rPr>
                <w:rFonts w:asciiTheme="minorHAnsi" w:hAnsiTheme="minorHAnsi"/>
                <w:b/>
                <w:color w:val="FFFFFF" w:themeColor="background1"/>
                <w:szCs w:val="24"/>
              </w:rPr>
            </w:pPr>
            <w:r w:rsidRPr="00D5145D">
              <w:rPr>
                <w:rFonts w:asciiTheme="minorHAnsi" w:hAnsiTheme="minorHAnsi"/>
                <w:b/>
                <w:color w:val="FFFFFF" w:themeColor="background1"/>
                <w:szCs w:val="24"/>
              </w:rPr>
              <w:t>Equality Analysis</w:t>
            </w:r>
          </w:p>
        </w:tc>
      </w:tr>
      <w:tr w:rsidR="000362B3" w:rsidRPr="00D5145D" w14:paraId="588EB099" w14:textId="77777777" w:rsidTr="00090449">
        <w:tc>
          <w:tcPr>
            <w:tcW w:w="11016" w:type="dxa"/>
            <w:gridSpan w:val="2"/>
          </w:tcPr>
          <w:p w14:paraId="3E4E61C2" w14:textId="5A4540FB" w:rsidR="000362B3" w:rsidRPr="00D5145D" w:rsidRDefault="000362B3" w:rsidP="000362B3">
            <w:pPr>
              <w:autoSpaceDE w:val="0"/>
              <w:autoSpaceDN w:val="0"/>
              <w:adjustRightInd w:val="0"/>
              <w:rPr>
                <w:rFonts w:asciiTheme="minorHAnsi" w:hAnsiTheme="minorHAnsi" w:cs="Arial"/>
                <w:szCs w:val="24"/>
              </w:rPr>
            </w:pPr>
            <w:r w:rsidRPr="00D5145D">
              <w:rPr>
                <w:rFonts w:asciiTheme="minorHAnsi" w:hAnsiTheme="minorHAnsi" w:cs="Arial"/>
                <w:szCs w:val="24"/>
              </w:rPr>
              <w:t xml:space="preserve">An Equality Analysis </w:t>
            </w:r>
            <w:r w:rsidR="00AF7288">
              <w:rPr>
                <w:rFonts w:asciiTheme="minorHAnsi" w:hAnsiTheme="minorHAnsi" w:cs="Arial"/>
                <w:szCs w:val="24"/>
              </w:rPr>
              <w:t xml:space="preserve">for the </w:t>
            </w:r>
            <w:r w:rsidR="00A63510">
              <w:rPr>
                <w:rFonts w:asciiTheme="minorHAnsi" w:hAnsiTheme="minorHAnsi" w:cs="Arial"/>
                <w:szCs w:val="24"/>
              </w:rPr>
              <w:t xml:space="preserve">Local </w:t>
            </w:r>
            <w:r w:rsidR="00AF7288">
              <w:rPr>
                <w:rFonts w:asciiTheme="minorHAnsi" w:hAnsiTheme="minorHAnsi" w:cs="Arial"/>
                <w:szCs w:val="24"/>
              </w:rPr>
              <w:t>Letti</w:t>
            </w:r>
            <w:r w:rsidR="00FC112D">
              <w:rPr>
                <w:rFonts w:asciiTheme="minorHAnsi" w:hAnsiTheme="minorHAnsi" w:cs="Arial"/>
                <w:szCs w:val="24"/>
              </w:rPr>
              <w:t>n</w:t>
            </w:r>
            <w:r w:rsidR="00AF7288">
              <w:rPr>
                <w:rFonts w:asciiTheme="minorHAnsi" w:hAnsiTheme="minorHAnsi" w:cs="Arial"/>
                <w:szCs w:val="24"/>
              </w:rPr>
              <w:t xml:space="preserve">gs Policy </w:t>
            </w:r>
            <w:r w:rsidR="00F628B8">
              <w:rPr>
                <w:rFonts w:asciiTheme="minorHAnsi" w:hAnsiTheme="minorHAnsi" w:cs="Arial"/>
                <w:szCs w:val="24"/>
              </w:rPr>
              <w:t>Wakefield and district outliers</w:t>
            </w:r>
            <w:r w:rsidR="00A63510">
              <w:rPr>
                <w:rFonts w:asciiTheme="minorHAnsi" w:hAnsiTheme="minorHAnsi" w:cs="Arial"/>
                <w:szCs w:val="24"/>
              </w:rPr>
              <w:t xml:space="preserve"> </w:t>
            </w:r>
            <w:r w:rsidR="00DA76ED">
              <w:rPr>
                <w:rFonts w:asciiTheme="minorHAnsi" w:hAnsiTheme="minorHAnsi" w:cs="Arial"/>
                <w:szCs w:val="24"/>
              </w:rPr>
              <w:t>has been completed and will be reviewed in line with any review of the policy</w:t>
            </w:r>
            <w:r w:rsidR="00AF7288">
              <w:rPr>
                <w:rFonts w:asciiTheme="minorHAnsi" w:hAnsiTheme="minorHAnsi" w:cs="Arial"/>
                <w:szCs w:val="24"/>
              </w:rPr>
              <w:t xml:space="preserve">.  </w:t>
            </w:r>
            <w:r w:rsidRPr="00D5145D">
              <w:rPr>
                <w:rFonts w:asciiTheme="minorHAnsi" w:hAnsiTheme="minorHAnsi" w:cs="Arial"/>
                <w:szCs w:val="24"/>
              </w:rPr>
              <w:t xml:space="preserve"> </w:t>
            </w:r>
          </w:p>
          <w:p w14:paraId="60091C47" w14:textId="77777777" w:rsidR="000362B3" w:rsidRPr="00D5145D" w:rsidRDefault="000362B3" w:rsidP="007C6D62">
            <w:pPr>
              <w:autoSpaceDE w:val="0"/>
              <w:autoSpaceDN w:val="0"/>
              <w:adjustRightInd w:val="0"/>
              <w:rPr>
                <w:rFonts w:asciiTheme="minorHAnsi" w:hAnsiTheme="minorHAnsi" w:cs="Arial"/>
                <w:szCs w:val="24"/>
              </w:rPr>
            </w:pPr>
          </w:p>
        </w:tc>
      </w:tr>
    </w:tbl>
    <w:p w14:paraId="7519D17E" w14:textId="77777777" w:rsidR="000362B3" w:rsidRPr="00D5145D" w:rsidRDefault="000362B3" w:rsidP="000362B3">
      <w:pPr>
        <w:rPr>
          <w:rFonts w:asciiTheme="minorHAnsi" w:hAnsiTheme="minorHAnsi" w:cs="Arial"/>
          <w:szCs w:val="24"/>
        </w:rPr>
      </w:pPr>
    </w:p>
    <w:sectPr w:rsidR="000362B3" w:rsidRPr="00D5145D" w:rsidSect="00090449">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48B" w14:textId="77777777" w:rsidR="00A02A70" w:rsidRDefault="00A02A70">
      <w:r>
        <w:separator/>
      </w:r>
    </w:p>
  </w:endnote>
  <w:endnote w:type="continuationSeparator" w:id="0">
    <w:p w14:paraId="2632A856" w14:textId="77777777" w:rsidR="00A02A70" w:rsidRDefault="00A0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4922"/>
      <w:docPartObj>
        <w:docPartGallery w:val="Page Numbers (Bottom of Page)"/>
        <w:docPartUnique/>
      </w:docPartObj>
    </w:sdtPr>
    <w:sdtEndPr/>
    <w:sdtContent>
      <w:p w14:paraId="6C2BD447" w14:textId="77777777" w:rsidR="00843796" w:rsidRDefault="00352A86">
        <w:pPr>
          <w:pStyle w:val="Footer"/>
          <w:jc w:val="center"/>
        </w:pPr>
        <w:r>
          <w:fldChar w:fldCharType="begin"/>
        </w:r>
        <w:r>
          <w:instrText xml:space="preserve"> PAGE   \* MERGEFORMAT </w:instrText>
        </w:r>
        <w:r>
          <w:fldChar w:fldCharType="separate"/>
        </w:r>
        <w:r w:rsidR="006429C8">
          <w:rPr>
            <w:noProof/>
          </w:rPr>
          <w:t>1</w:t>
        </w:r>
        <w:r>
          <w:rPr>
            <w:noProof/>
          </w:rPr>
          <w:fldChar w:fldCharType="end"/>
        </w:r>
      </w:p>
    </w:sdtContent>
  </w:sdt>
  <w:p w14:paraId="687B9509" w14:textId="77777777" w:rsidR="00843796" w:rsidRDefault="00843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D574" w14:textId="77777777" w:rsidR="00A02A70" w:rsidRDefault="00A02A70">
      <w:r>
        <w:separator/>
      </w:r>
    </w:p>
  </w:footnote>
  <w:footnote w:type="continuationSeparator" w:id="0">
    <w:p w14:paraId="3899466C" w14:textId="77777777" w:rsidR="00A02A70" w:rsidRDefault="00A02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77EE"/>
    <w:multiLevelType w:val="hybridMultilevel"/>
    <w:tmpl w:val="F4AE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2194C"/>
    <w:multiLevelType w:val="hybridMultilevel"/>
    <w:tmpl w:val="911E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956F2"/>
    <w:multiLevelType w:val="hybridMultilevel"/>
    <w:tmpl w:val="AD66CD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2486AB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57565062"/>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22707AB"/>
    <w:multiLevelType w:val="hybridMultilevel"/>
    <w:tmpl w:val="D02CC5C0"/>
    <w:lvl w:ilvl="0" w:tplc="1688E21C">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75114F5F"/>
    <w:multiLevelType w:val="hybridMultilevel"/>
    <w:tmpl w:val="52D661DE"/>
    <w:lvl w:ilvl="0" w:tplc="95427D9C">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84"/>
    <w:rsid w:val="00001686"/>
    <w:rsid w:val="00002B4D"/>
    <w:rsid w:val="00002D93"/>
    <w:rsid w:val="00006E70"/>
    <w:rsid w:val="00010275"/>
    <w:rsid w:val="000105E2"/>
    <w:rsid w:val="00010764"/>
    <w:rsid w:val="000155CD"/>
    <w:rsid w:val="00015640"/>
    <w:rsid w:val="00015A54"/>
    <w:rsid w:val="00021FB8"/>
    <w:rsid w:val="000229DF"/>
    <w:rsid w:val="00023C72"/>
    <w:rsid w:val="00024168"/>
    <w:rsid w:val="00025264"/>
    <w:rsid w:val="00026E58"/>
    <w:rsid w:val="000306FF"/>
    <w:rsid w:val="00030B40"/>
    <w:rsid w:val="00031912"/>
    <w:rsid w:val="00033F2B"/>
    <w:rsid w:val="000342F8"/>
    <w:rsid w:val="000362B3"/>
    <w:rsid w:val="00036D6B"/>
    <w:rsid w:val="00040F5B"/>
    <w:rsid w:val="00041F4A"/>
    <w:rsid w:val="000432C6"/>
    <w:rsid w:val="0004353B"/>
    <w:rsid w:val="000438FC"/>
    <w:rsid w:val="00044BBA"/>
    <w:rsid w:val="000454C9"/>
    <w:rsid w:val="00050D40"/>
    <w:rsid w:val="000534FB"/>
    <w:rsid w:val="00054793"/>
    <w:rsid w:val="00054F58"/>
    <w:rsid w:val="00057256"/>
    <w:rsid w:val="000600FC"/>
    <w:rsid w:val="000603EF"/>
    <w:rsid w:val="0006198B"/>
    <w:rsid w:val="00061C73"/>
    <w:rsid w:val="000630E5"/>
    <w:rsid w:val="00064156"/>
    <w:rsid w:val="000649AA"/>
    <w:rsid w:val="00066056"/>
    <w:rsid w:val="000672EF"/>
    <w:rsid w:val="00070858"/>
    <w:rsid w:val="000722D0"/>
    <w:rsid w:val="0007445D"/>
    <w:rsid w:val="000747DB"/>
    <w:rsid w:val="00074969"/>
    <w:rsid w:val="00074EE4"/>
    <w:rsid w:val="00077763"/>
    <w:rsid w:val="00081660"/>
    <w:rsid w:val="000833CB"/>
    <w:rsid w:val="000850F3"/>
    <w:rsid w:val="000858F7"/>
    <w:rsid w:val="00085A98"/>
    <w:rsid w:val="000862E2"/>
    <w:rsid w:val="00086B9A"/>
    <w:rsid w:val="00090449"/>
    <w:rsid w:val="00090ABA"/>
    <w:rsid w:val="00091150"/>
    <w:rsid w:val="00094211"/>
    <w:rsid w:val="0009717B"/>
    <w:rsid w:val="00097BB5"/>
    <w:rsid w:val="000A0565"/>
    <w:rsid w:val="000A0744"/>
    <w:rsid w:val="000A2579"/>
    <w:rsid w:val="000A2C68"/>
    <w:rsid w:val="000A34F2"/>
    <w:rsid w:val="000A391F"/>
    <w:rsid w:val="000A466F"/>
    <w:rsid w:val="000A4CEB"/>
    <w:rsid w:val="000A4FC4"/>
    <w:rsid w:val="000B0189"/>
    <w:rsid w:val="000B0CDA"/>
    <w:rsid w:val="000B1B65"/>
    <w:rsid w:val="000B356A"/>
    <w:rsid w:val="000B68D7"/>
    <w:rsid w:val="000B69E8"/>
    <w:rsid w:val="000B7873"/>
    <w:rsid w:val="000C2112"/>
    <w:rsid w:val="000C24B5"/>
    <w:rsid w:val="000C336D"/>
    <w:rsid w:val="000C3A7E"/>
    <w:rsid w:val="000C4DA7"/>
    <w:rsid w:val="000C69E7"/>
    <w:rsid w:val="000C725A"/>
    <w:rsid w:val="000D026B"/>
    <w:rsid w:val="000D1C2A"/>
    <w:rsid w:val="000D21A2"/>
    <w:rsid w:val="000D2B02"/>
    <w:rsid w:val="000D3C02"/>
    <w:rsid w:val="000D3C52"/>
    <w:rsid w:val="000D4F65"/>
    <w:rsid w:val="000D5435"/>
    <w:rsid w:val="000D77A2"/>
    <w:rsid w:val="000D7F29"/>
    <w:rsid w:val="000E1242"/>
    <w:rsid w:val="000E2263"/>
    <w:rsid w:val="000E55AD"/>
    <w:rsid w:val="000E5807"/>
    <w:rsid w:val="000E6C72"/>
    <w:rsid w:val="000E7897"/>
    <w:rsid w:val="000F0C1F"/>
    <w:rsid w:val="000F2608"/>
    <w:rsid w:val="000F318D"/>
    <w:rsid w:val="000F4875"/>
    <w:rsid w:val="000F48A4"/>
    <w:rsid w:val="000F52B5"/>
    <w:rsid w:val="00100BB3"/>
    <w:rsid w:val="00100F12"/>
    <w:rsid w:val="00101007"/>
    <w:rsid w:val="00107349"/>
    <w:rsid w:val="00110777"/>
    <w:rsid w:val="00115335"/>
    <w:rsid w:val="001155BC"/>
    <w:rsid w:val="00115D3F"/>
    <w:rsid w:val="00121FA4"/>
    <w:rsid w:val="00122D20"/>
    <w:rsid w:val="00124FC1"/>
    <w:rsid w:val="001253A7"/>
    <w:rsid w:val="00126A70"/>
    <w:rsid w:val="001273C0"/>
    <w:rsid w:val="001276C7"/>
    <w:rsid w:val="00127FFB"/>
    <w:rsid w:val="00131786"/>
    <w:rsid w:val="001331F8"/>
    <w:rsid w:val="0013322D"/>
    <w:rsid w:val="001337E3"/>
    <w:rsid w:val="00134BDF"/>
    <w:rsid w:val="00134C2F"/>
    <w:rsid w:val="001372B0"/>
    <w:rsid w:val="00141A0E"/>
    <w:rsid w:val="0014241A"/>
    <w:rsid w:val="00142BD9"/>
    <w:rsid w:val="00142DF7"/>
    <w:rsid w:val="00142EA4"/>
    <w:rsid w:val="00143737"/>
    <w:rsid w:val="001443A8"/>
    <w:rsid w:val="001449AE"/>
    <w:rsid w:val="00145408"/>
    <w:rsid w:val="00146919"/>
    <w:rsid w:val="001470FD"/>
    <w:rsid w:val="0015075E"/>
    <w:rsid w:val="001535EA"/>
    <w:rsid w:val="00155018"/>
    <w:rsid w:val="0015584C"/>
    <w:rsid w:val="00160D18"/>
    <w:rsid w:val="001618B1"/>
    <w:rsid w:val="001621DF"/>
    <w:rsid w:val="00163051"/>
    <w:rsid w:val="00165AE5"/>
    <w:rsid w:val="00167EC1"/>
    <w:rsid w:val="0017489B"/>
    <w:rsid w:val="001772FD"/>
    <w:rsid w:val="00177999"/>
    <w:rsid w:val="00180CFA"/>
    <w:rsid w:val="00182464"/>
    <w:rsid w:val="00182483"/>
    <w:rsid w:val="001841AF"/>
    <w:rsid w:val="0018553B"/>
    <w:rsid w:val="00185A2A"/>
    <w:rsid w:val="00186501"/>
    <w:rsid w:val="001872AE"/>
    <w:rsid w:val="0019032A"/>
    <w:rsid w:val="00190376"/>
    <w:rsid w:val="001911A3"/>
    <w:rsid w:val="0019717F"/>
    <w:rsid w:val="00197DE3"/>
    <w:rsid w:val="001A2A98"/>
    <w:rsid w:val="001A5F07"/>
    <w:rsid w:val="001B3924"/>
    <w:rsid w:val="001B3B81"/>
    <w:rsid w:val="001B6400"/>
    <w:rsid w:val="001B6C8C"/>
    <w:rsid w:val="001B7EBB"/>
    <w:rsid w:val="001C3483"/>
    <w:rsid w:val="001C4B72"/>
    <w:rsid w:val="001D2FBE"/>
    <w:rsid w:val="001D3227"/>
    <w:rsid w:val="001D4265"/>
    <w:rsid w:val="001D5125"/>
    <w:rsid w:val="001D572D"/>
    <w:rsid w:val="001D583F"/>
    <w:rsid w:val="001D729E"/>
    <w:rsid w:val="001E1982"/>
    <w:rsid w:val="001E7F02"/>
    <w:rsid w:val="001F3DA7"/>
    <w:rsid w:val="001F435A"/>
    <w:rsid w:val="001F5114"/>
    <w:rsid w:val="001F5239"/>
    <w:rsid w:val="001F558F"/>
    <w:rsid w:val="001F7313"/>
    <w:rsid w:val="0020041D"/>
    <w:rsid w:val="00200999"/>
    <w:rsid w:val="002011C0"/>
    <w:rsid w:val="002049D6"/>
    <w:rsid w:val="002062BE"/>
    <w:rsid w:val="00206EBB"/>
    <w:rsid w:val="002071E0"/>
    <w:rsid w:val="0021380A"/>
    <w:rsid w:val="00215066"/>
    <w:rsid w:val="002156A5"/>
    <w:rsid w:val="002156AE"/>
    <w:rsid w:val="00217444"/>
    <w:rsid w:val="002248FA"/>
    <w:rsid w:val="002253E3"/>
    <w:rsid w:val="0023017B"/>
    <w:rsid w:val="00234E32"/>
    <w:rsid w:val="00236FC7"/>
    <w:rsid w:val="002417DC"/>
    <w:rsid w:val="00243335"/>
    <w:rsid w:val="00243571"/>
    <w:rsid w:val="00244BEF"/>
    <w:rsid w:val="00255B0A"/>
    <w:rsid w:val="002579B1"/>
    <w:rsid w:val="00257EFD"/>
    <w:rsid w:val="002617E4"/>
    <w:rsid w:val="00262771"/>
    <w:rsid w:val="002678A7"/>
    <w:rsid w:val="00267936"/>
    <w:rsid w:val="002709B6"/>
    <w:rsid w:val="002719B9"/>
    <w:rsid w:val="002725A9"/>
    <w:rsid w:val="00277BDD"/>
    <w:rsid w:val="00277DA9"/>
    <w:rsid w:val="00277F3B"/>
    <w:rsid w:val="00282D7C"/>
    <w:rsid w:val="0028336C"/>
    <w:rsid w:val="0028441C"/>
    <w:rsid w:val="0028741F"/>
    <w:rsid w:val="002878E7"/>
    <w:rsid w:val="002929E9"/>
    <w:rsid w:val="00293167"/>
    <w:rsid w:val="002933F5"/>
    <w:rsid w:val="002936B2"/>
    <w:rsid w:val="00294146"/>
    <w:rsid w:val="0029504B"/>
    <w:rsid w:val="0029677D"/>
    <w:rsid w:val="00296B34"/>
    <w:rsid w:val="002A12FD"/>
    <w:rsid w:val="002A1D96"/>
    <w:rsid w:val="002A23EC"/>
    <w:rsid w:val="002A240A"/>
    <w:rsid w:val="002A2A18"/>
    <w:rsid w:val="002A3E60"/>
    <w:rsid w:val="002A6944"/>
    <w:rsid w:val="002A6C61"/>
    <w:rsid w:val="002A709C"/>
    <w:rsid w:val="002A70A5"/>
    <w:rsid w:val="002A733D"/>
    <w:rsid w:val="002A7DC1"/>
    <w:rsid w:val="002B1AD3"/>
    <w:rsid w:val="002B3A25"/>
    <w:rsid w:val="002B50AB"/>
    <w:rsid w:val="002B7D87"/>
    <w:rsid w:val="002B7ECD"/>
    <w:rsid w:val="002C1BEC"/>
    <w:rsid w:val="002C2AC8"/>
    <w:rsid w:val="002C3F48"/>
    <w:rsid w:val="002C417B"/>
    <w:rsid w:val="002C5B38"/>
    <w:rsid w:val="002C64F2"/>
    <w:rsid w:val="002D05C9"/>
    <w:rsid w:val="002D096D"/>
    <w:rsid w:val="002D0999"/>
    <w:rsid w:val="002D0DC1"/>
    <w:rsid w:val="002D2004"/>
    <w:rsid w:val="002D297F"/>
    <w:rsid w:val="002D575F"/>
    <w:rsid w:val="002D6116"/>
    <w:rsid w:val="002D628D"/>
    <w:rsid w:val="002E019D"/>
    <w:rsid w:val="002E1692"/>
    <w:rsid w:val="002E1CBE"/>
    <w:rsid w:val="002E20D1"/>
    <w:rsid w:val="002E244C"/>
    <w:rsid w:val="002E596A"/>
    <w:rsid w:val="002E6007"/>
    <w:rsid w:val="002F177A"/>
    <w:rsid w:val="002F224B"/>
    <w:rsid w:val="002F3FDD"/>
    <w:rsid w:val="002F7C21"/>
    <w:rsid w:val="002F7F07"/>
    <w:rsid w:val="003017AA"/>
    <w:rsid w:val="00301D80"/>
    <w:rsid w:val="00303742"/>
    <w:rsid w:val="00306C53"/>
    <w:rsid w:val="003072DC"/>
    <w:rsid w:val="003078E7"/>
    <w:rsid w:val="00311816"/>
    <w:rsid w:val="0031293F"/>
    <w:rsid w:val="00313187"/>
    <w:rsid w:val="00317084"/>
    <w:rsid w:val="00321B97"/>
    <w:rsid w:val="003243BA"/>
    <w:rsid w:val="00326AF8"/>
    <w:rsid w:val="003332A9"/>
    <w:rsid w:val="00335778"/>
    <w:rsid w:val="00337784"/>
    <w:rsid w:val="00337860"/>
    <w:rsid w:val="003379F1"/>
    <w:rsid w:val="0034159E"/>
    <w:rsid w:val="003420A2"/>
    <w:rsid w:val="00342F12"/>
    <w:rsid w:val="00345A64"/>
    <w:rsid w:val="00345C10"/>
    <w:rsid w:val="00346556"/>
    <w:rsid w:val="003475AE"/>
    <w:rsid w:val="00347837"/>
    <w:rsid w:val="00352A7F"/>
    <w:rsid w:val="00352A86"/>
    <w:rsid w:val="003532B1"/>
    <w:rsid w:val="0036061A"/>
    <w:rsid w:val="003625E5"/>
    <w:rsid w:val="00366FD8"/>
    <w:rsid w:val="0037131C"/>
    <w:rsid w:val="00373A77"/>
    <w:rsid w:val="00373C16"/>
    <w:rsid w:val="00373EB0"/>
    <w:rsid w:val="003772E2"/>
    <w:rsid w:val="00380F44"/>
    <w:rsid w:val="003810B7"/>
    <w:rsid w:val="00383A60"/>
    <w:rsid w:val="00383B3E"/>
    <w:rsid w:val="003848C9"/>
    <w:rsid w:val="00386E27"/>
    <w:rsid w:val="00390C4E"/>
    <w:rsid w:val="00393231"/>
    <w:rsid w:val="00396E78"/>
    <w:rsid w:val="00396F7D"/>
    <w:rsid w:val="003973A3"/>
    <w:rsid w:val="003A273D"/>
    <w:rsid w:val="003A2950"/>
    <w:rsid w:val="003A2FCB"/>
    <w:rsid w:val="003A32AF"/>
    <w:rsid w:val="003A5FA0"/>
    <w:rsid w:val="003B0277"/>
    <w:rsid w:val="003B5C91"/>
    <w:rsid w:val="003B62F8"/>
    <w:rsid w:val="003B6404"/>
    <w:rsid w:val="003B6C21"/>
    <w:rsid w:val="003B729F"/>
    <w:rsid w:val="003C022F"/>
    <w:rsid w:val="003C0B61"/>
    <w:rsid w:val="003C249C"/>
    <w:rsid w:val="003C32E0"/>
    <w:rsid w:val="003C37E9"/>
    <w:rsid w:val="003C3C80"/>
    <w:rsid w:val="003C3D23"/>
    <w:rsid w:val="003C40B2"/>
    <w:rsid w:val="003D021A"/>
    <w:rsid w:val="003D46FB"/>
    <w:rsid w:val="003D4CFE"/>
    <w:rsid w:val="003E7F68"/>
    <w:rsid w:val="003F00C8"/>
    <w:rsid w:val="003F2411"/>
    <w:rsid w:val="003F249E"/>
    <w:rsid w:val="003F2722"/>
    <w:rsid w:val="003F506E"/>
    <w:rsid w:val="003F55F4"/>
    <w:rsid w:val="004026D9"/>
    <w:rsid w:val="00402D25"/>
    <w:rsid w:val="00402D97"/>
    <w:rsid w:val="004034C9"/>
    <w:rsid w:val="0040361A"/>
    <w:rsid w:val="00403BF4"/>
    <w:rsid w:val="00404273"/>
    <w:rsid w:val="00405B60"/>
    <w:rsid w:val="00405BF7"/>
    <w:rsid w:val="00406F19"/>
    <w:rsid w:val="004149AF"/>
    <w:rsid w:val="00414A28"/>
    <w:rsid w:val="00414B5E"/>
    <w:rsid w:val="0041742E"/>
    <w:rsid w:val="00422B6B"/>
    <w:rsid w:val="0042319F"/>
    <w:rsid w:val="0042534C"/>
    <w:rsid w:val="00431B12"/>
    <w:rsid w:val="00431C8E"/>
    <w:rsid w:val="004329AA"/>
    <w:rsid w:val="004339E7"/>
    <w:rsid w:val="00433D13"/>
    <w:rsid w:val="00434210"/>
    <w:rsid w:val="00436DBB"/>
    <w:rsid w:val="00437D80"/>
    <w:rsid w:val="00437E44"/>
    <w:rsid w:val="00441BC3"/>
    <w:rsid w:val="004534E1"/>
    <w:rsid w:val="00453761"/>
    <w:rsid w:val="00454AF9"/>
    <w:rsid w:val="00456087"/>
    <w:rsid w:val="00457847"/>
    <w:rsid w:val="00461D5A"/>
    <w:rsid w:val="0046330A"/>
    <w:rsid w:val="00463B02"/>
    <w:rsid w:val="004654DA"/>
    <w:rsid w:val="00466190"/>
    <w:rsid w:val="0046672F"/>
    <w:rsid w:val="00473E49"/>
    <w:rsid w:val="00473EEC"/>
    <w:rsid w:val="0047437D"/>
    <w:rsid w:val="00475C0D"/>
    <w:rsid w:val="004804ED"/>
    <w:rsid w:val="00482983"/>
    <w:rsid w:val="00482DC9"/>
    <w:rsid w:val="004837AB"/>
    <w:rsid w:val="00483F70"/>
    <w:rsid w:val="004905F2"/>
    <w:rsid w:val="00491492"/>
    <w:rsid w:val="00492A0E"/>
    <w:rsid w:val="00492DC7"/>
    <w:rsid w:val="00493148"/>
    <w:rsid w:val="00497023"/>
    <w:rsid w:val="00497D9D"/>
    <w:rsid w:val="004A0C88"/>
    <w:rsid w:val="004A4F11"/>
    <w:rsid w:val="004A55D7"/>
    <w:rsid w:val="004A587D"/>
    <w:rsid w:val="004B25FD"/>
    <w:rsid w:val="004B2CD3"/>
    <w:rsid w:val="004B4E48"/>
    <w:rsid w:val="004C0205"/>
    <w:rsid w:val="004C0FC2"/>
    <w:rsid w:val="004C13B0"/>
    <w:rsid w:val="004C2126"/>
    <w:rsid w:val="004C34B5"/>
    <w:rsid w:val="004C4413"/>
    <w:rsid w:val="004C6110"/>
    <w:rsid w:val="004C6FC8"/>
    <w:rsid w:val="004C765D"/>
    <w:rsid w:val="004C7BF7"/>
    <w:rsid w:val="004D055F"/>
    <w:rsid w:val="004D10BE"/>
    <w:rsid w:val="004D2CAA"/>
    <w:rsid w:val="004D52F2"/>
    <w:rsid w:val="004D5775"/>
    <w:rsid w:val="004D5C6A"/>
    <w:rsid w:val="004D6A3E"/>
    <w:rsid w:val="004D777E"/>
    <w:rsid w:val="004E06A1"/>
    <w:rsid w:val="004E14C6"/>
    <w:rsid w:val="004E213D"/>
    <w:rsid w:val="004E3A26"/>
    <w:rsid w:val="004E781D"/>
    <w:rsid w:val="004F1004"/>
    <w:rsid w:val="004F2E91"/>
    <w:rsid w:val="004F389E"/>
    <w:rsid w:val="004F5523"/>
    <w:rsid w:val="004F5B6C"/>
    <w:rsid w:val="00500405"/>
    <w:rsid w:val="00501FCE"/>
    <w:rsid w:val="00504D60"/>
    <w:rsid w:val="005062A2"/>
    <w:rsid w:val="0050704A"/>
    <w:rsid w:val="00507EC3"/>
    <w:rsid w:val="00511D9E"/>
    <w:rsid w:val="005140BC"/>
    <w:rsid w:val="00514988"/>
    <w:rsid w:val="00514B3A"/>
    <w:rsid w:val="005151C0"/>
    <w:rsid w:val="0051581E"/>
    <w:rsid w:val="0051697D"/>
    <w:rsid w:val="00517052"/>
    <w:rsid w:val="00517174"/>
    <w:rsid w:val="005201D3"/>
    <w:rsid w:val="00522593"/>
    <w:rsid w:val="00523A2A"/>
    <w:rsid w:val="0052403D"/>
    <w:rsid w:val="005247E1"/>
    <w:rsid w:val="005302C6"/>
    <w:rsid w:val="0053088C"/>
    <w:rsid w:val="00531B34"/>
    <w:rsid w:val="00532AB4"/>
    <w:rsid w:val="00533AB1"/>
    <w:rsid w:val="0053517D"/>
    <w:rsid w:val="0053766B"/>
    <w:rsid w:val="00541E3D"/>
    <w:rsid w:val="005449B1"/>
    <w:rsid w:val="00547226"/>
    <w:rsid w:val="005559AF"/>
    <w:rsid w:val="005567CC"/>
    <w:rsid w:val="0056255A"/>
    <w:rsid w:val="00564B20"/>
    <w:rsid w:val="00565077"/>
    <w:rsid w:val="005711F8"/>
    <w:rsid w:val="005714CC"/>
    <w:rsid w:val="00577FBA"/>
    <w:rsid w:val="00582DC0"/>
    <w:rsid w:val="00583BE0"/>
    <w:rsid w:val="005855DD"/>
    <w:rsid w:val="005860D4"/>
    <w:rsid w:val="005867E5"/>
    <w:rsid w:val="00591000"/>
    <w:rsid w:val="0059457B"/>
    <w:rsid w:val="00594E98"/>
    <w:rsid w:val="005969B1"/>
    <w:rsid w:val="0059728E"/>
    <w:rsid w:val="00597AFB"/>
    <w:rsid w:val="005A3A88"/>
    <w:rsid w:val="005A4044"/>
    <w:rsid w:val="005B2379"/>
    <w:rsid w:val="005B4225"/>
    <w:rsid w:val="005B644F"/>
    <w:rsid w:val="005B70B5"/>
    <w:rsid w:val="005B7B12"/>
    <w:rsid w:val="005C26A4"/>
    <w:rsid w:val="005C3B6B"/>
    <w:rsid w:val="005D0198"/>
    <w:rsid w:val="005D24EE"/>
    <w:rsid w:val="005D2BC1"/>
    <w:rsid w:val="005D365A"/>
    <w:rsid w:val="005D412F"/>
    <w:rsid w:val="005D43ED"/>
    <w:rsid w:val="005D6A61"/>
    <w:rsid w:val="005D7704"/>
    <w:rsid w:val="005E0C1C"/>
    <w:rsid w:val="005E21DD"/>
    <w:rsid w:val="005E230C"/>
    <w:rsid w:val="005E2D45"/>
    <w:rsid w:val="005E4239"/>
    <w:rsid w:val="005E44D3"/>
    <w:rsid w:val="005E5A69"/>
    <w:rsid w:val="005E750F"/>
    <w:rsid w:val="005F12A6"/>
    <w:rsid w:val="005F20F1"/>
    <w:rsid w:val="005F2164"/>
    <w:rsid w:val="005F253E"/>
    <w:rsid w:val="005F37D3"/>
    <w:rsid w:val="005F596C"/>
    <w:rsid w:val="005F6E9D"/>
    <w:rsid w:val="006003F6"/>
    <w:rsid w:val="006004F6"/>
    <w:rsid w:val="0060120E"/>
    <w:rsid w:val="006017E3"/>
    <w:rsid w:val="00602572"/>
    <w:rsid w:val="0060549A"/>
    <w:rsid w:val="00605662"/>
    <w:rsid w:val="00605ACA"/>
    <w:rsid w:val="00606808"/>
    <w:rsid w:val="00610BAB"/>
    <w:rsid w:val="00613348"/>
    <w:rsid w:val="00613555"/>
    <w:rsid w:val="00614674"/>
    <w:rsid w:val="00622956"/>
    <w:rsid w:val="00622EA5"/>
    <w:rsid w:val="006263D1"/>
    <w:rsid w:val="006273B9"/>
    <w:rsid w:val="00631349"/>
    <w:rsid w:val="0063540E"/>
    <w:rsid w:val="006356DB"/>
    <w:rsid w:val="00640ABF"/>
    <w:rsid w:val="00641563"/>
    <w:rsid w:val="006429C8"/>
    <w:rsid w:val="006445D8"/>
    <w:rsid w:val="00645408"/>
    <w:rsid w:val="00646A27"/>
    <w:rsid w:val="00647488"/>
    <w:rsid w:val="00650170"/>
    <w:rsid w:val="00650A2C"/>
    <w:rsid w:val="006548A3"/>
    <w:rsid w:val="006555DF"/>
    <w:rsid w:val="00656BF7"/>
    <w:rsid w:val="0066042E"/>
    <w:rsid w:val="00661E1C"/>
    <w:rsid w:val="00662FDC"/>
    <w:rsid w:val="00664855"/>
    <w:rsid w:val="00666018"/>
    <w:rsid w:val="00666450"/>
    <w:rsid w:val="006729F4"/>
    <w:rsid w:val="006745D7"/>
    <w:rsid w:val="006762E9"/>
    <w:rsid w:val="0067696C"/>
    <w:rsid w:val="00677778"/>
    <w:rsid w:val="00677A7C"/>
    <w:rsid w:val="00677C65"/>
    <w:rsid w:val="006813D2"/>
    <w:rsid w:val="00690DC5"/>
    <w:rsid w:val="00693994"/>
    <w:rsid w:val="0069499E"/>
    <w:rsid w:val="00697710"/>
    <w:rsid w:val="006A0A48"/>
    <w:rsid w:val="006A30D3"/>
    <w:rsid w:val="006A3669"/>
    <w:rsid w:val="006A3D62"/>
    <w:rsid w:val="006A6568"/>
    <w:rsid w:val="006A6DF7"/>
    <w:rsid w:val="006B1A97"/>
    <w:rsid w:val="006B325B"/>
    <w:rsid w:val="006B46A2"/>
    <w:rsid w:val="006B4E2D"/>
    <w:rsid w:val="006B74AB"/>
    <w:rsid w:val="006B7711"/>
    <w:rsid w:val="006B7CCE"/>
    <w:rsid w:val="006C0D0D"/>
    <w:rsid w:val="006C13B6"/>
    <w:rsid w:val="006C31F5"/>
    <w:rsid w:val="006C44E3"/>
    <w:rsid w:val="006C470A"/>
    <w:rsid w:val="006C54DB"/>
    <w:rsid w:val="006C5B59"/>
    <w:rsid w:val="006C62F9"/>
    <w:rsid w:val="006C6D1A"/>
    <w:rsid w:val="006C7112"/>
    <w:rsid w:val="006D0660"/>
    <w:rsid w:val="006D1211"/>
    <w:rsid w:val="006D1810"/>
    <w:rsid w:val="006D324A"/>
    <w:rsid w:val="006D44A8"/>
    <w:rsid w:val="006D7EFF"/>
    <w:rsid w:val="006D7F32"/>
    <w:rsid w:val="006E1F08"/>
    <w:rsid w:val="006E258A"/>
    <w:rsid w:val="006E2C5A"/>
    <w:rsid w:val="006E32AE"/>
    <w:rsid w:val="006E406A"/>
    <w:rsid w:val="006E5AED"/>
    <w:rsid w:val="006E5D22"/>
    <w:rsid w:val="006E623E"/>
    <w:rsid w:val="006E6E18"/>
    <w:rsid w:val="006F0F9E"/>
    <w:rsid w:val="006F1ACC"/>
    <w:rsid w:val="006F22AE"/>
    <w:rsid w:val="006F348C"/>
    <w:rsid w:val="007000DB"/>
    <w:rsid w:val="00701317"/>
    <w:rsid w:val="0070261A"/>
    <w:rsid w:val="00702660"/>
    <w:rsid w:val="0070544B"/>
    <w:rsid w:val="00712CB6"/>
    <w:rsid w:val="007134FE"/>
    <w:rsid w:val="007148FC"/>
    <w:rsid w:val="00714EE3"/>
    <w:rsid w:val="0071525C"/>
    <w:rsid w:val="00715BCD"/>
    <w:rsid w:val="00720404"/>
    <w:rsid w:val="00721C59"/>
    <w:rsid w:val="007223FC"/>
    <w:rsid w:val="00722BA0"/>
    <w:rsid w:val="00724C5B"/>
    <w:rsid w:val="007261AF"/>
    <w:rsid w:val="00726B47"/>
    <w:rsid w:val="007300F6"/>
    <w:rsid w:val="0073034E"/>
    <w:rsid w:val="00731396"/>
    <w:rsid w:val="007319D3"/>
    <w:rsid w:val="00732B4C"/>
    <w:rsid w:val="007332F9"/>
    <w:rsid w:val="007356CD"/>
    <w:rsid w:val="00735821"/>
    <w:rsid w:val="007359D4"/>
    <w:rsid w:val="00735CBA"/>
    <w:rsid w:val="0073638B"/>
    <w:rsid w:val="00736DB7"/>
    <w:rsid w:val="0074259C"/>
    <w:rsid w:val="007445EB"/>
    <w:rsid w:val="00744799"/>
    <w:rsid w:val="00745EF9"/>
    <w:rsid w:val="0074792D"/>
    <w:rsid w:val="007514AC"/>
    <w:rsid w:val="00751B53"/>
    <w:rsid w:val="00752B9A"/>
    <w:rsid w:val="00753034"/>
    <w:rsid w:val="0075324C"/>
    <w:rsid w:val="00754977"/>
    <w:rsid w:val="007558C8"/>
    <w:rsid w:val="00757EEA"/>
    <w:rsid w:val="00761878"/>
    <w:rsid w:val="007625D4"/>
    <w:rsid w:val="00764532"/>
    <w:rsid w:val="0077202B"/>
    <w:rsid w:val="007734A4"/>
    <w:rsid w:val="007802C5"/>
    <w:rsid w:val="00780A49"/>
    <w:rsid w:val="007841EF"/>
    <w:rsid w:val="00786221"/>
    <w:rsid w:val="007874B9"/>
    <w:rsid w:val="00793B92"/>
    <w:rsid w:val="00796504"/>
    <w:rsid w:val="00797B07"/>
    <w:rsid w:val="007A18BD"/>
    <w:rsid w:val="007A1A6C"/>
    <w:rsid w:val="007A4210"/>
    <w:rsid w:val="007A56B6"/>
    <w:rsid w:val="007B0490"/>
    <w:rsid w:val="007B05A2"/>
    <w:rsid w:val="007B4633"/>
    <w:rsid w:val="007B5B10"/>
    <w:rsid w:val="007B76CC"/>
    <w:rsid w:val="007C110E"/>
    <w:rsid w:val="007C16A0"/>
    <w:rsid w:val="007C16A6"/>
    <w:rsid w:val="007C1F1A"/>
    <w:rsid w:val="007C27C0"/>
    <w:rsid w:val="007C3938"/>
    <w:rsid w:val="007C4D4C"/>
    <w:rsid w:val="007C6D62"/>
    <w:rsid w:val="007D0A08"/>
    <w:rsid w:val="007D0DED"/>
    <w:rsid w:val="007D3E8C"/>
    <w:rsid w:val="007D547B"/>
    <w:rsid w:val="007E17BE"/>
    <w:rsid w:val="007E7132"/>
    <w:rsid w:val="007F2C58"/>
    <w:rsid w:val="007F565B"/>
    <w:rsid w:val="007F678A"/>
    <w:rsid w:val="007F7BC7"/>
    <w:rsid w:val="008013ED"/>
    <w:rsid w:val="00802963"/>
    <w:rsid w:val="00805BBC"/>
    <w:rsid w:val="00807A81"/>
    <w:rsid w:val="00807D48"/>
    <w:rsid w:val="0081034F"/>
    <w:rsid w:val="00810450"/>
    <w:rsid w:val="00811C36"/>
    <w:rsid w:val="0081313B"/>
    <w:rsid w:val="00814443"/>
    <w:rsid w:val="008145A6"/>
    <w:rsid w:val="00814D1C"/>
    <w:rsid w:val="00815BAC"/>
    <w:rsid w:val="00816BA9"/>
    <w:rsid w:val="008176DD"/>
    <w:rsid w:val="00820B97"/>
    <w:rsid w:val="00821AD3"/>
    <w:rsid w:val="008226CF"/>
    <w:rsid w:val="008241D6"/>
    <w:rsid w:val="008250CA"/>
    <w:rsid w:val="00831013"/>
    <w:rsid w:val="00836CAF"/>
    <w:rsid w:val="00837405"/>
    <w:rsid w:val="00840B16"/>
    <w:rsid w:val="0084135A"/>
    <w:rsid w:val="00841B0E"/>
    <w:rsid w:val="00841B6A"/>
    <w:rsid w:val="00841D96"/>
    <w:rsid w:val="00843796"/>
    <w:rsid w:val="00844282"/>
    <w:rsid w:val="0085258A"/>
    <w:rsid w:val="00853088"/>
    <w:rsid w:val="008531FE"/>
    <w:rsid w:val="0085380B"/>
    <w:rsid w:val="00854AE0"/>
    <w:rsid w:val="00861ABB"/>
    <w:rsid w:val="00861C95"/>
    <w:rsid w:val="00863B6A"/>
    <w:rsid w:val="00866998"/>
    <w:rsid w:val="00867101"/>
    <w:rsid w:val="00867C5E"/>
    <w:rsid w:val="008725A3"/>
    <w:rsid w:val="00872BBB"/>
    <w:rsid w:val="00873264"/>
    <w:rsid w:val="0087566C"/>
    <w:rsid w:val="00875E7F"/>
    <w:rsid w:val="008826DD"/>
    <w:rsid w:val="0088332B"/>
    <w:rsid w:val="00883B38"/>
    <w:rsid w:val="008848D8"/>
    <w:rsid w:val="00884AD4"/>
    <w:rsid w:val="00887BF9"/>
    <w:rsid w:val="00891D1B"/>
    <w:rsid w:val="00892050"/>
    <w:rsid w:val="008920CA"/>
    <w:rsid w:val="00892650"/>
    <w:rsid w:val="008946AD"/>
    <w:rsid w:val="00894729"/>
    <w:rsid w:val="008965A0"/>
    <w:rsid w:val="00896B33"/>
    <w:rsid w:val="008A45BC"/>
    <w:rsid w:val="008A731E"/>
    <w:rsid w:val="008B0C0B"/>
    <w:rsid w:val="008B21A3"/>
    <w:rsid w:val="008B4A6F"/>
    <w:rsid w:val="008B52D0"/>
    <w:rsid w:val="008B58E1"/>
    <w:rsid w:val="008B717F"/>
    <w:rsid w:val="008B73B5"/>
    <w:rsid w:val="008B7A6B"/>
    <w:rsid w:val="008B7DF3"/>
    <w:rsid w:val="008C1FB7"/>
    <w:rsid w:val="008C38EC"/>
    <w:rsid w:val="008C4BC1"/>
    <w:rsid w:val="008C58F9"/>
    <w:rsid w:val="008C63D8"/>
    <w:rsid w:val="008C7191"/>
    <w:rsid w:val="008D0B8D"/>
    <w:rsid w:val="008D2937"/>
    <w:rsid w:val="008D4060"/>
    <w:rsid w:val="008D41B6"/>
    <w:rsid w:val="008D6E3D"/>
    <w:rsid w:val="008D6F41"/>
    <w:rsid w:val="008E0797"/>
    <w:rsid w:val="008E162C"/>
    <w:rsid w:val="008E503C"/>
    <w:rsid w:val="008E7703"/>
    <w:rsid w:val="008E79C2"/>
    <w:rsid w:val="008F20E6"/>
    <w:rsid w:val="008F2354"/>
    <w:rsid w:val="008F4BCC"/>
    <w:rsid w:val="008F60E9"/>
    <w:rsid w:val="008F66C0"/>
    <w:rsid w:val="008F76DD"/>
    <w:rsid w:val="0090215A"/>
    <w:rsid w:val="00902A00"/>
    <w:rsid w:val="00902A12"/>
    <w:rsid w:val="009070A9"/>
    <w:rsid w:val="00907480"/>
    <w:rsid w:val="00907777"/>
    <w:rsid w:val="009120AA"/>
    <w:rsid w:val="009158BB"/>
    <w:rsid w:val="00916DA2"/>
    <w:rsid w:val="00917176"/>
    <w:rsid w:val="00921999"/>
    <w:rsid w:val="0092551F"/>
    <w:rsid w:val="00925BD0"/>
    <w:rsid w:val="00925D56"/>
    <w:rsid w:val="00926761"/>
    <w:rsid w:val="0093122E"/>
    <w:rsid w:val="00933DDC"/>
    <w:rsid w:val="00934EF0"/>
    <w:rsid w:val="00936129"/>
    <w:rsid w:val="00936556"/>
    <w:rsid w:val="0093657C"/>
    <w:rsid w:val="00940291"/>
    <w:rsid w:val="00940350"/>
    <w:rsid w:val="00940506"/>
    <w:rsid w:val="00943BA0"/>
    <w:rsid w:val="009455FE"/>
    <w:rsid w:val="00950F6D"/>
    <w:rsid w:val="00951924"/>
    <w:rsid w:val="009525E2"/>
    <w:rsid w:val="00954496"/>
    <w:rsid w:val="00957BF2"/>
    <w:rsid w:val="00957C5B"/>
    <w:rsid w:val="00957F2C"/>
    <w:rsid w:val="00960687"/>
    <w:rsid w:val="00960A91"/>
    <w:rsid w:val="009636EC"/>
    <w:rsid w:val="0096532D"/>
    <w:rsid w:val="0096776C"/>
    <w:rsid w:val="00970C82"/>
    <w:rsid w:val="0097221C"/>
    <w:rsid w:val="00973967"/>
    <w:rsid w:val="009749CF"/>
    <w:rsid w:val="00975026"/>
    <w:rsid w:val="00975607"/>
    <w:rsid w:val="0097687D"/>
    <w:rsid w:val="00976DAF"/>
    <w:rsid w:val="00981B18"/>
    <w:rsid w:val="00981E5C"/>
    <w:rsid w:val="009836CD"/>
    <w:rsid w:val="00986DC8"/>
    <w:rsid w:val="00987BDB"/>
    <w:rsid w:val="00991747"/>
    <w:rsid w:val="009922AB"/>
    <w:rsid w:val="009962C3"/>
    <w:rsid w:val="009A1834"/>
    <w:rsid w:val="009A44D0"/>
    <w:rsid w:val="009A5453"/>
    <w:rsid w:val="009A5ACD"/>
    <w:rsid w:val="009A66B1"/>
    <w:rsid w:val="009B0D9D"/>
    <w:rsid w:val="009B1169"/>
    <w:rsid w:val="009B357D"/>
    <w:rsid w:val="009B3735"/>
    <w:rsid w:val="009B566C"/>
    <w:rsid w:val="009B61BD"/>
    <w:rsid w:val="009C0802"/>
    <w:rsid w:val="009C1049"/>
    <w:rsid w:val="009C58DE"/>
    <w:rsid w:val="009C609D"/>
    <w:rsid w:val="009C64AE"/>
    <w:rsid w:val="009C683B"/>
    <w:rsid w:val="009C74B5"/>
    <w:rsid w:val="009D2F74"/>
    <w:rsid w:val="009D7B08"/>
    <w:rsid w:val="009E135C"/>
    <w:rsid w:val="009E6439"/>
    <w:rsid w:val="009E7907"/>
    <w:rsid w:val="009F0980"/>
    <w:rsid w:val="009F20DF"/>
    <w:rsid w:val="009F281B"/>
    <w:rsid w:val="009F2834"/>
    <w:rsid w:val="009F5F3B"/>
    <w:rsid w:val="009F5FC4"/>
    <w:rsid w:val="009F6839"/>
    <w:rsid w:val="00A005FA"/>
    <w:rsid w:val="00A02A70"/>
    <w:rsid w:val="00A030C6"/>
    <w:rsid w:val="00A06FEE"/>
    <w:rsid w:val="00A07942"/>
    <w:rsid w:val="00A07D35"/>
    <w:rsid w:val="00A11248"/>
    <w:rsid w:val="00A11FEF"/>
    <w:rsid w:val="00A1634A"/>
    <w:rsid w:val="00A16B07"/>
    <w:rsid w:val="00A17F20"/>
    <w:rsid w:val="00A204E7"/>
    <w:rsid w:val="00A20F76"/>
    <w:rsid w:val="00A21CA4"/>
    <w:rsid w:val="00A2379B"/>
    <w:rsid w:val="00A27BBA"/>
    <w:rsid w:val="00A27CC8"/>
    <w:rsid w:val="00A3096A"/>
    <w:rsid w:val="00A36455"/>
    <w:rsid w:val="00A4122D"/>
    <w:rsid w:val="00A418FA"/>
    <w:rsid w:val="00A44142"/>
    <w:rsid w:val="00A44BA3"/>
    <w:rsid w:val="00A44EA6"/>
    <w:rsid w:val="00A4522D"/>
    <w:rsid w:val="00A457E5"/>
    <w:rsid w:val="00A460C2"/>
    <w:rsid w:val="00A4636E"/>
    <w:rsid w:val="00A5024B"/>
    <w:rsid w:val="00A51FDA"/>
    <w:rsid w:val="00A52746"/>
    <w:rsid w:val="00A5457F"/>
    <w:rsid w:val="00A54663"/>
    <w:rsid w:val="00A54784"/>
    <w:rsid w:val="00A554D2"/>
    <w:rsid w:val="00A55CD7"/>
    <w:rsid w:val="00A55EAA"/>
    <w:rsid w:val="00A56C66"/>
    <w:rsid w:val="00A57856"/>
    <w:rsid w:val="00A615F4"/>
    <w:rsid w:val="00A62B28"/>
    <w:rsid w:val="00A6342F"/>
    <w:rsid w:val="00A63510"/>
    <w:rsid w:val="00A70895"/>
    <w:rsid w:val="00A749E2"/>
    <w:rsid w:val="00A758F3"/>
    <w:rsid w:val="00A776E7"/>
    <w:rsid w:val="00A811DD"/>
    <w:rsid w:val="00A818F8"/>
    <w:rsid w:val="00A83230"/>
    <w:rsid w:val="00A8506D"/>
    <w:rsid w:val="00A875FE"/>
    <w:rsid w:val="00A912E2"/>
    <w:rsid w:val="00A92F1A"/>
    <w:rsid w:val="00A93526"/>
    <w:rsid w:val="00A93808"/>
    <w:rsid w:val="00A93C8C"/>
    <w:rsid w:val="00A94375"/>
    <w:rsid w:val="00A97321"/>
    <w:rsid w:val="00AA57E2"/>
    <w:rsid w:val="00AA58F3"/>
    <w:rsid w:val="00AA5BED"/>
    <w:rsid w:val="00AB0F6E"/>
    <w:rsid w:val="00AB1805"/>
    <w:rsid w:val="00AB1F16"/>
    <w:rsid w:val="00AB1F6E"/>
    <w:rsid w:val="00AB6913"/>
    <w:rsid w:val="00AB6B16"/>
    <w:rsid w:val="00AD12B9"/>
    <w:rsid w:val="00AD19A4"/>
    <w:rsid w:val="00AD2201"/>
    <w:rsid w:val="00AD3301"/>
    <w:rsid w:val="00AD481F"/>
    <w:rsid w:val="00AD4C38"/>
    <w:rsid w:val="00AD7F8F"/>
    <w:rsid w:val="00AE021E"/>
    <w:rsid w:val="00AE0399"/>
    <w:rsid w:val="00AE2784"/>
    <w:rsid w:val="00AE35D0"/>
    <w:rsid w:val="00AE6BE5"/>
    <w:rsid w:val="00AE7FAE"/>
    <w:rsid w:val="00AF474F"/>
    <w:rsid w:val="00AF6468"/>
    <w:rsid w:val="00AF7288"/>
    <w:rsid w:val="00AF7D35"/>
    <w:rsid w:val="00AF7FDB"/>
    <w:rsid w:val="00B00DBE"/>
    <w:rsid w:val="00B00DD6"/>
    <w:rsid w:val="00B00F32"/>
    <w:rsid w:val="00B01130"/>
    <w:rsid w:val="00B01BE1"/>
    <w:rsid w:val="00B04594"/>
    <w:rsid w:val="00B04744"/>
    <w:rsid w:val="00B07101"/>
    <w:rsid w:val="00B111F9"/>
    <w:rsid w:val="00B12402"/>
    <w:rsid w:val="00B125D5"/>
    <w:rsid w:val="00B12CB2"/>
    <w:rsid w:val="00B143F6"/>
    <w:rsid w:val="00B14E9E"/>
    <w:rsid w:val="00B15174"/>
    <w:rsid w:val="00B1600B"/>
    <w:rsid w:val="00B24DAD"/>
    <w:rsid w:val="00B25034"/>
    <w:rsid w:val="00B2569A"/>
    <w:rsid w:val="00B258C1"/>
    <w:rsid w:val="00B3012A"/>
    <w:rsid w:val="00B31DD7"/>
    <w:rsid w:val="00B326AA"/>
    <w:rsid w:val="00B338B7"/>
    <w:rsid w:val="00B34AD6"/>
    <w:rsid w:val="00B3605B"/>
    <w:rsid w:val="00B362FE"/>
    <w:rsid w:val="00B37854"/>
    <w:rsid w:val="00B37935"/>
    <w:rsid w:val="00B4091F"/>
    <w:rsid w:val="00B40B8D"/>
    <w:rsid w:val="00B40FFF"/>
    <w:rsid w:val="00B4112B"/>
    <w:rsid w:val="00B41466"/>
    <w:rsid w:val="00B41D2C"/>
    <w:rsid w:val="00B42196"/>
    <w:rsid w:val="00B42779"/>
    <w:rsid w:val="00B438AF"/>
    <w:rsid w:val="00B45C06"/>
    <w:rsid w:val="00B46F92"/>
    <w:rsid w:val="00B47337"/>
    <w:rsid w:val="00B47480"/>
    <w:rsid w:val="00B522B0"/>
    <w:rsid w:val="00B5545C"/>
    <w:rsid w:val="00B559E2"/>
    <w:rsid w:val="00B56955"/>
    <w:rsid w:val="00B56A8A"/>
    <w:rsid w:val="00B576D7"/>
    <w:rsid w:val="00B6363A"/>
    <w:rsid w:val="00B636E1"/>
    <w:rsid w:val="00B65042"/>
    <w:rsid w:val="00B67F86"/>
    <w:rsid w:val="00B708AA"/>
    <w:rsid w:val="00B70AB4"/>
    <w:rsid w:val="00B7148B"/>
    <w:rsid w:val="00B71C42"/>
    <w:rsid w:val="00B757DF"/>
    <w:rsid w:val="00B76533"/>
    <w:rsid w:val="00B8024C"/>
    <w:rsid w:val="00B81A51"/>
    <w:rsid w:val="00B81A69"/>
    <w:rsid w:val="00B822FA"/>
    <w:rsid w:val="00B833FA"/>
    <w:rsid w:val="00B842E3"/>
    <w:rsid w:val="00B84ED3"/>
    <w:rsid w:val="00B851A5"/>
    <w:rsid w:val="00B86852"/>
    <w:rsid w:val="00B868B4"/>
    <w:rsid w:val="00B8711B"/>
    <w:rsid w:val="00B91F5E"/>
    <w:rsid w:val="00B93688"/>
    <w:rsid w:val="00B95592"/>
    <w:rsid w:val="00B973DA"/>
    <w:rsid w:val="00B974C3"/>
    <w:rsid w:val="00B97A6D"/>
    <w:rsid w:val="00BA13AF"/>
    <w:rsid w:val="00BA1EF6"/>
    <w:rsid w:val="00BA249E"/>
    <w:rsid w:val="00BA4114"/>
    <w:rsid w:val="00BA76FC"/>
    <w:rsid w:val="00BB61D0"/>
    <w:rsid w:val="00BC62B2"/>
    <w:rsid w:val="00BD16AD"/>
    <w:rsid w:val="00BD183E"/>
    <w:rsid w:val="00BD2D4A"/>
    <w:rsid w:val="00BD2FEF"/>
    <w:rsid w:val="00BD3243"/>
    <w:rsid w:val="00BD5897"/>
    <w:rsid w:val="00BE01F1"/>
    <w:rsid w:val="00BE0520"/>
    <w:rsid w:val="00BE10C4"/>
    <w:rsid w:val="00BE506A"/>
    <w:rsid w:val="00BE6EA9"/>
    <w:rsid w:val="00BE77A6"/>
    <w:rsid w:val="00BF45DB"/>
    <w:rsid w:val="00BF5BC0"/>
    <w:rsid w:val="00BF6007"/>
    <w:rsid w:val="00BF7E65"/>
    <w:rsid w:val="00C006FF"/>
    <w:rsid w:val="00C0396A"/>
    <w:rsid w:val="00C041C1"/>
    <w:rsid w:val="00C04FCE"/>
    <w:rsid w:val="00C05683"/>
    <w:rsid w:val="00C06BEA"/>
    <w:rsid w:val="00C06F8E"/>
    <w:rsid w:val="00C10FDC"/>
    <w:rsid w:val="00C11C97"/>
    <w:rsid w:val="00C13D89"/>
    <w:rsid w:val="00C17107"/>
    <w:rsid w:val="00C17EEE"/>
    <w:rsid w:val="00C2095E"/>
    <w:rsid w:val="00C22F25"/>
    <w:rsid w:val="00C23AAC"/>
    <w:rsid w:val="00C23B28"/>
    <w:rsid w:val="00C23E34"/>
    <w:rsid w:val="00C2507E"/>
    <w:rsid w:val="00C2557B"/>
    <w:rsid w:val="00C26BD0"/>
    <w:rsid w:val="00C26CE0"/>
    <w:rsid w:val="00C279AA"/>
    <w:rsid w:val="00C30A94"/>
    <w:rsid w:val="00C33D4F"/>
    <w:rsid w:val="00C33F8F"/>
    <w:rsid w:val="00C356F7"/>
    <w:rsid w:val="00C35D89"/>
    <w:rsid w:val="00C405EA"/>
    <w:rsid w:val="00C41427"/>
    <w:rsid w:val="00C44417"/>
    <w:rsid w:val="00C4592F"/>
    <w:rsid w:val="00C45D0D"/>
    <w:rsid w:val="00C46DFC"/>
    <w:rsid w:val="00C474B8"/>
    <w:rsid w:val="00C5037C"/>
    <w:rsid w:val="00C515BD"/>
    <w:rsid w:val="00C521C0"/>
    <w:rsid w:val="00C53020"/>
    <w:rsid w:val="00C53D93"/>
    <w:rsid w:val="00C54209"/>
    <w:rsid w:val="00C556BD"/>
    <w:rsid w:val="00C569B5"/>
    <w:rsid w:val="00C60726"/>
    <w:rsid w:val="00C60CBE"/>
    <w:rsid w:val="00C610AF"/>
    <w:rsid w:val="00C6212E"/>
    <w:rsid w:val="00C65AD3"/>
    <w:rsid w:val="00C6709E"/>
    <w:rsid w:val="00C70569"/>
    <w:rsid w:val="00C71AC0"/>
    <w:rsid w:val="00C72AE8"/>
    <w:rsid w:val="00C7591A"/>
    <w:rsid w:val="00C76354"/>
    <w:rsid w:val="00C76610"/>
    <w:rsid w:val="00C8079F"/>
    <w:rsid w:val="00C8479C"/>
    <w:rsid w:val="00C866EA"/>
    <w:rsid w:val="00C870FD"/>
    <w:rsid w:val="00C878D9"/>
    <w:rsid w:val="00C90238"/>
    <w:rsid w:val="00C91B5D"/>
    <w:rsid w:val="00C935BF"/>
    <w:rsid w:val="00C93B87"/>
    <w:rsid w:val="00C94530"/>
    <w:rsid w:val="00C94592"/>
    <w:rsid w:val="00C9468B"/>
    <w:rsid w:val="00C950CA"/>
    <w:rsid w:val="00C9642C"/>
    <w:rsid w:val="00C96C36"/>
    <w:rsid w:val="00C97E70"/>
    <w:rsid w:val="00CA090B"/>
    <w:rsid w:val="00CA1835"/>
    <w:rsid w:val="00CA1EA6"/>
    <w:rsid w:val="00CA2560"/>
    <w:rsid w:val="00CB0065"/>
    <w:rsid w:val="00CB05B5"/>
    <w:rsid w:val="00CB1486"/>
    <w:rsid w:val="00CB16CB"/>
    <w:rsid w:val="00CB1C9D"/>
    <w:rsid w:val="00CB22A9"/>
    <w:rsid w:val="00CB2910"/>
    <w:rsid w:val="00CB3D05"/>
    <w:rsid w:val="00CB5D26"/>
    <w:rsid w:val="00CB6384"/>
    <w:rsid w:val="00CB642C"/>
    <w:rsid w:val="00CB68F1"/>
    <w:rsid w:val="00CB77B9"/>
    <w:rsid w:val="00CC2316"/>
    <w:rsid w:val="00CC431F"/>
    <w:rsid w:val="00CC4390"/>
    <w:rsid w:val="00CC4678"/>
    <w:rsid w:val="00CC51B0"/>
    <w:rsid w:val="00CC6EB9"/>
    <w:rsid w:val="00CD28A8"/>
    <w:rsid w:val="00CD32B4"/>
    <w:rsid w:val="00CD5FF0"/>
    <w:rsid w:val="00CD6339"/>
    <w:rsid w:val="00CD63C8"/>
    <w:rsid w:val="00CD7498"/>
    <w:rsid w:val="00CE0974"/>
    <w:rsid w:val="00CE1822"/>
    <w:rsid w:val="00CE1C2E"/>
    <w:rsid w:val="00CE20E7"/>
    <w:rsid w:val="00CE4CDB"/>
    <w:rsid w:val="00CE65A0"/>
    <w:rsid w:val="00CE7A6B"/>
    <w:rsid w:val="00CF1486"/>
    <w:rsid w:val="00CF1ED4"/>
    <w:rsid w:val="00D009F1"/>
    <w:rsid w:val="00D01F36"/>
    <w:rsid w:val="00D02083"/>
    <w:rsid w:val="00D0300F"/>
    <w:rsid w:val="00D03033"/>
    <w:rsid w:val="00D0472F"/>
    <w:rsid w:val="00D0609F"/>
    <w:rsid w:val="00D063C6"/>
    <w:rsid w:val="00D0642F"/>
    <w:rsid w:val="00D07C80"/>
    <w:rsid w:val="00D108D7"/>
    <w:rsid w:val="00D1092D"/>
    <w:rsid w:val="00D10CE7"/>
    <w:rsid w:val="00D11CBF"/>
    <w:rsid w:val="00D12BA7"/>
    <w:rsid w:val="00D1698C"/>
    <w:rsid w:val="00D16B95"/>
    <w:rsid w:val="00D20D13"/>
    <w:rsid w:val="00D22AFE"/>
    <w:rsid w:val="00D23AA3"/>
    <w:rsid w:val="00D23AB4"/>
    <w:rsid w:val="00D26AB7"/>
    <w:rsid w:val="00D27D14"/>
    <w:rsid w:val="00D30194"/>
    <w:rsid w:val="00D30B30"/>
    <w:rsid w:val="00D3291E"/>
    <w:rsid w:val="00D32F66"/>
    <w:rsid w:val="00D344D1"/>
    <w:rsid w:val="00D34FEF"/>
    <w:rsid w:val="00D3745F"/>
    <w:rsid w:val="00D37DEC"/>
    <w:rsid w:val="00D40B07"/>
    <w:rsid w:val="00D40D5F"/>
    <w:rsid w:val="00D41836"/>
    <w:rsid w:val="00D426E5"/>
    <w:rsid w:val="00D43967"/>
    <w:rsid w:val="00D46BC5"/>
    <w:rsid w:val="00D50536"/>
    <w:rsid w:val="00D5145D"/>
    <w:rsid w:val="00D552BD"/>
    <w:rsid w:val="00D55F0B"/>
    <w:rsid w:val="00D5704F"/>
    <w:rsid w:val="00D60B84"/>
    <w:rsid w:val="00D61051"/>
    <w:rsid w:val="00D624F0"/>
    <w:rsid w:val="00D62F22"/>
    <w:rsid w:val="00D638DF"/>
    <w:rsid w:val="00D647A6"/>
    <w:rsid w:val="00D6577C"/>
    <w:rsid w:val="00D678F3"/>
    <w:rsid w:val="00D701FB"/>
    <w:rsid w:val="00D705E1"/>
    <w:rsid w:val="00D73A90"/>
    <w:rsid w:val="00D7434F"/>
    <w:rsid w:val="00D755AF"/>
    <w:rsid w:val="00D75E0C"/>
    <w:rsid w:val="00D8095D"/>
    <w:rsid w:val="00D80FA2"/>
    <w:rsid w:val="00D81A9D"/>
    <w:rsid w:val="00D86E88"/>
    <w:rsid w:val="00D901B1"/>
    <w:rsid w:val="00D91237"/>
    <w:rsid w:val="00D94424"/>
    <w:rsid w:val="00DA06AE"/>
    <w:rsid w:val="00DA2DA9"/>
    <w:rsid w:val="00DA4FE2"/>
    <w:rsid w:val="00DA5169"/>
    <w:rsid w:val="00DA5C1B"/>
    <w:rsid w:val="00DA62C0"/>
    <w:rsid w:val="00DA6BF2"/>
    <w:rsid w:val="00DA76ED"/>
    <w:rsid w:val="00DB0355"/>
    <w:rsid w:val="00DB2EDF"/>
    <w:rsid w:val="00DB420F"/>
    <w:rsid w:val="00DB600D"/>
    <w:rsid w:val="00DB649E"/>
    <w:rsid w:val="00DC24B4"/>
    <w:rsid w:val="00DC33BE"/>
    <w:rsid w:val="00DC5E42"/>
    <w:rsid w:val="00DD1969"/>
    <w:rsid w:val="00DD1E24"/>
    <w:rsid w:val="00DD386A"/>
    <w:rsid w:val="00DD4A89"/>
    <w:rsid w:val="00DD7DC8"/>
    <w:rsid w:val="00DE2601"/>
    <w:rsid w:val="00DE623A"/>
    <w:rsid w:val="00DE72DF"/>
    <w:rsid w:val="00DE7972"/>
    <w:rsid w:val="00DF13B7"/>
    <w:rsid w:val="00DF1647"/>
    <w:rsid w:val="00DF2700"/>
    <w:rsid w:val="00DF6823"/>
    <w:rsid w:val="00DF7165"/>
    <w:rsid w:val="00DF780D"/>
    <w:rsid w:val="00E00D25"/>
    <w:rsid w:val="00E03B29"/>
    <w:rsid w:val="00E04623"/>
    <w:rsid w:val="00E04CA5"/>
    <w:rsid w:val="00E10D96"/>
    <w:rsid w:val="00E11183"/>
    <w:rsid w:val="00E11DC1"/>
    <w:rsid w:val="00E14B23"/>
    <w:rsid w:val="00E14FA1"/>
    <w:rsid w:val="00E15B43"/>
    <w:rsid w:val="00E164A3"/>
    <w:rsid w:val="00E16E9D"/>
    <w:rsid w:val="00E209AC"/>
    <w:rsid w:val="00E22ADF"/>
    <w:rsid w:val="00E24A44"/>
    <w:rsid w:val="00E30972"/>
    <w:rsid w:val="00E3244E"/>
    <w:rsid w:val="00E32F41"/>
    <w:rsid w:val="00E34AF2"/>
    <w:rsid w:val="00E35D81"/>
    <w:rsid w:val="00E41BF6"/>
    <w:rsid w:val="00E46529"/>
    <w:rsid w:val="00E469AC"/>
    <w:rsid w:val="00E4735C"/>
    <w:rsid w:val="00E473B9"/>
    <w:rsid w:val="00E47887"/>
    <w:rsid w:val="00E47B0D"/>
    <w:rsid w:val="00E47C31"/>
    <w:rsid w:val="00E50B0F"/>
    <w:rsid w:val="00E510D6"/>
    <w:rsid w:val="00E54CE8"/>
    <w:rsid w:val="00E56CED"/>
    <w:rsid w:val="00E63788"/>
    <w:rsid w:val="00E63C0B"/>
    <w:rsid w:val="00E6461A"/>
    <w:rsid w:val="00E6526C"/>
    <w:rsid w:val="00E65467"/>
    <w:rsid w:val="00E6548D"/>
    <w:rsid w:val="00E669BF"/>
    <w:rsid w:val="00E674FE"/>
    <w:rsid w:val="00E70F1D"/>
    <w:rsid w:val="00E74A9F"/>
    <w:rsid w:val="00E75577"/>
    <w:rsid w:val="00E768B0"/>
    <w:rsid w:val="00E775AE"/>
    <w:rsid w:val="00E805B9"/>
    <w:rsid w:val="00E81985"/>
    <w:rsid w:val="00E81BD5"/>
    <w:rsid w:val="00E81E45"/>
    <w:rsid w:val="00E82CAB"/>
    <w:rsid w:val="00E90108"/>
    <w:rsid w:val="00E919D1"/>
    <w:rsid w:val="00E926DC"/>
    <w:rsid w:val="00E92AD9"/>
    <w:rsid w:val="00E93B16"/>
    <w:rsid w:val="00E93CC1"/>
    <w:rsid w:val="00E93F3F"/>
    <w:rsid w:val="00E948B3"/>
    <w:rsid w:val="00E951E3"/>
    <w:rsid w:val="00EA106F"/>
    <w:rsid w:val="00EA2F85"/>
    <w:rsid w:val="00EA4729"/>
    <w:rsid w:val="00EA571C"/>
    <w:rsid w:val="00EA5FAC"/>
    <w:rsid w:val="00EB3350"/>
    <w:rsid w:val="00EB4A32"/>
    <w:rsid w:val="00EB6EEF"/>
    <w:rsid w:val="00EB7BD6"/>
    <w:rsid w:val="00EC0B52"/>
    <w:rsid w:val="00EC5295"/>
    <w:rsid w:val="00EC6357"/>
    <w:rsid w:val="00EC66BF"/>
    <w:rsid w:val="00EC71CC"/>
    <w:rsid w:val="00EC7A70"/>
    <w:rsid w:val="00ED14A2"/>
    <w:rsid w:val="00ED24E5"/>
    <w:rsid w:val="00ED3BED"/>
    <w:rsid w:val="00ED45F0"/>
    <w:rsid w:val="00ED72E5"/>
    <w:rsid w:val="00ED7DD1"/>
    <w:rsid w:val="00EE04BE"/>
    <w:rsid w:val="00EE0CDF"/>
    <w:rsid w:val="00EE30D4"/>
    <w:rsid w:val="00EE35FE"/>
    <w:rsid w:val="00EE4235"/>
    <w:rsid w:val="00EE513C"/>
    <w:rsid w:val="00EE5B36"/>
    <w:rsid w:val="00EF4086"/>
    <w:rsid w:val="00EF4B86"/>
    <w:rsid w:val="00EF66DD"/>
    <w:rsid w:val="00EF72E9"/>
    <w:rsid w:val="00EF7610"/>
    <w:rsid w:val="00F014C0"/>
    <w:rsid w:val="00F025F2"/>
    <w:rsid w:val="00F029BC"/>
    <w:rsid w:val="00F0326F"/>
    <w:rsid w:val="00F03BB2"/>
    <w:rsid w:val="00F0412E"/>
    <w:rsid w:val="00F046C9"/>
    <w:rsid w:val="00F06EA4"/>
    <w:rsid w:val="00F071B2"/>
    <w:rsid w:val="00F07A70"/>
    <w:rsid w:val="00F1198C"/>
    <w:rsid w:val="00F15168"/>
    <w:rsid w:val="00F1784D"/>
    <w:rsid w:val="00F17B8D"/>
    <w:rsid w:val="00F20184"/>
    <w:rsid w:val="00F2161F"/>
    <w:rsid w:val="00F23FBD"/>
    <w:rsid w:val="00F25CBB"/>
    <w:rsid w:val="00F26799"/>
    <w:rsid w:val="00F27456"/>
    <w:rsid w:val="00F27E54"/>
    <w:rsid w:val="00F27E70"/>
    <w:rsid w:val="00F30518"/>
    <w:rsid w:val="00F30CBF"/>
    <w:rsid w:val="00F31A01"/>
    <w:rsid w:val="00F33DA0"/>
    <w:rsid w:val="00F33E0C"/>
    <w:rsid w:val="00F35CB0"/>
    <w:rsid w:val="00F40022"/>
    <w:rsid w:val="00F410A7"/>
    <w:rsid w:val="00F44339"/>
    <w:rsid w:val="00F46073"/>
    <w:rsid w:val="00F4677B"/>
    <w:rsid w:val="00F47453"/>
    <w:rsid w:val="00F47C9F"/>
    <w:rsid w:val="00F5121D"/>
    <w:rsid w:val="00F5292B"/>
    <w:rsid w:val="00F54B09"/>
    <w:rsid w:val="00F56151"/>
    <w:rsid w:val="00F56F13"/>
    <w:rsid w:val="00F60159"/>
    <w:rsid w:val="00F60633"/>
    <w:rsid w:val="00F628B8"/>
    <w:rsid w:val="00F62AAC"/>
    <w:rsid w:val="00F6314D"/>
    <w:rsid w:val="00F653FB"/>
    <w:rsid w:val="00F6741A"/>
    <w:rsid w:val="00F67932"/>
    <w:rsid w:val="00F7008E"/>
    <w:rsid w:val="00F711A7"/>
    <w:rsid w:val="00F75301"/>
    <w:rsid w:val="00F7626E"/>
    <w:rsid w:val="00F76F87"/>
    <w:rsid w:val="00F77D82"/>
    <w:rsid w:val="00F85C75"/>
    <w:rsid w:val="00F9515E"/>
    <w:rsid w:val="00F95E06"/>
    <w:rsid w:val="00F95F14"/>
    <w:rsid w:val="00FA26F6"/>
    <w:rsid w:val="00FA2D3C"/>
    <w:rsid w:val="00FA5C13"/>
    <w:rsid w:val="00FA7417"/>
    <w:rsid w:val="00FA7CED"/>
    <w:rsid w:val="00FA7D9D"/>
    <w:rsid w:val="00FB33E9"/>
    <w:rsid w:val="00FB5849"/>
    <w:rsid w:val="00FB7CCC"/>
    <w:rsid w:val="00FC0590"/>
    <w:rsid w:val="00FC112D"/>
    <w:rsid w:val="00FC26ED"/>
    <w:rsid w:val="00FC2AA7"/>
    <w:rsid w:val="00FC5324"/>
    <w:rsid w:val="00FC538F"/>
    <w:rsid w:val="00FC621B"/>
    <w:rsid w:val="00FC6F3E"/>
    <w:rsid w:val="00FD00A7"/>
    <w:rsid w:val="00FD39F4"/>
    <w:rsid w:val="00FD4C14"/>
    <w:rsid w:val="00FD4CBB"/>
    <w:rsid w:val="00FD515B"/>
    <w:rsid w:val="00FE05D1"/>
    <w:rsid w:val="00FE263C"/>
    <w:rsid w:val="00FE3BF4"/>
    <w:rsid w:val="00FE3D88"/>
    <w:rsid w:val="00FE5251"/>
    <w:rsid w:val="00FE5E04"/>
    <w:rsid w:val="00FE62ED"/>
    <w:rsid w:val="00FF23FB"/>
    <w:rsid w:val="00FF25E9"/>
    <w:rsid w:val="00FF2828"/>
    <w:rsid w:val="00FF2F38"/>
    <w:rsid w:val="00FF3D12"/>
    <w:rsid w:val="00FF6483"/>
    <w:rsid w:val="00FF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CE69"/>
  <w15:docId w15:val="{DC81D640-6D65-457C-8418-40C61B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4A"/>
    <w:rPr>
      <w:rFonts w:ascii="Arial" w:hAnsi="Arial"/>
      <w:sz w:val="24"/>
    </w:rPr>
  </w:style>
  <w:style w:type="paragraph" w:styleId="Heading1">
    <w:name w:val="heading 1"/>
    <w:basedOn w:val="Normal"/>
    <w:next w:val="Normal"/>
    <w:qFormat/>
    <w:rsid w:val="00BD2D4A"/>
    <w:pPr>
      <w:keepNext/>
      <w:outlineLvl w:val="0"/>
    </w:pPr>
    <w:rPr>
      <w:b/>
      <w:sz w:val="22"/>
    </w:rPr>
  </w:style>
  <w:style w:type="paragraph" w:styleId="Heading2">
    <w:name w:val="heading 2"/>
    <w:basedOn w:val="Normal"/>
    <w:next w:val="Normal"/>
    <w:link w:val="Heading2Char"/>
    <w:semiHidden/>
    <w:unhideWhenUsed/>
    <w:qFormat/>
    <w:rsid w:val="00DB64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BD2D4A"/>
    <w:pPr>
      <w:keepNext/>
      <w:jc w:val="right"/>
      <w:outlineLvl w:val="2"/>
    </w:pPr>
    <w:rPr>
      <w:b/>
      <w:sz w:val="22"/>
    </w:rPr>
  </w:style>
  <w:style w:type="paragraph" w:styleId="Heading4">
    <w:name w:val="heading 4"/>
    <w:basedOn w:val="Normal"/>
    <w:next w:val="Normal"/>
    <w:qFormat/>
    <w:rsid w:val="00BD2D4A"/>
    <w:pPr>
      <w:keepNext/>
      <w:outlineLvl w:val="3"/>
    </w:pPr>
    <w:rPr>
      <w:b/>
    </w:rPr>
  </w:style>
  <w:style w:type="paragraph" w:styleId="Heading6">
    <w:name w:val="heading 6"/>
    <w:basedOn w:val="Normal"/>
    <w:next w:val="Normal"/>
    <w:qFormat/>
    <w:rsid w:val="00BD2D4A"/>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2D4A"/>
    <w:pPr>
      <w:jc w:val="center"/>
    </w:pPr>
    <w:rPr>
      <w:b/>
      <w:sz w:val="22"/>
    </w:rPr>
  </w:style>
  <w:style w:type="paragraph" w:styleId="BodyText">
    <w:name w:val="Body Text"/>
    <w:basedOn w:val="Normal"/>
    <w:rsid w:val="00BD2D4A"/>
    <w:rPr>
      <w:sz w:val="22"/>
    </w:rPr>
  </w:style>
  <w:style w:type="paragraph" w:styleId="BodyText2">
    <w:name w:val="Body Text 2"/>
    <w:basedOn w:val="Normal"/>
    <w:rsid w:val="00BD2D4A"/>
    <w:rPr>
      <w:b/>
    </w:rPr>
  </w:style>
  <w:style w:type="paragraph" w:styleId="BodyTextIndent">
    <w:name w:val="Body Text Indent"/>
    <w:basedOn w:val="Normal"/>
    <w:rsid w:val="00BD2D4A"/>
    <w:pPr>
      <w:ind w:left="720"/>
    </w:pPr>
  </w:style>
  <w:style w:type="paragraph" w:styleId="Header">
    <w:name w:val="header"/>
    <w:basedOn w:val="Normal"/>
    <w:rsid w:val="00BF45DB"/>
    <w:pPr>
      <w:tabs>
        <w:tab w:val="center" w:pos="4320"/>
        <w:tab w:val="right" w:pos="8640"/>
      </w:tabs>
    </w:pPr>
  </w:style>
  <w:style w:type="paragraph" w:styleId="Footer">
    <w:name w:val="footer"/>
    <w:basedOn w:val="Normal"/>
    <w:link w:val="FooterChar"/>
    <w:uiPriority w:val="99"/>
    <w:rsid w:val="00BF45DB"/>
    <w:pPr>
      <w:tabs>
        <w:tab w:val="center" w:pos="4320"/>
        <w:tab w:val="right" w:pos="8640"/>
      </w:tabs>
    </w:pPr>
  </w:style>
  <w:style w:type="paragraph" w:styleId="BalloonText">
    <w:name w:val="Balloon Text"/>
    <w:basedOn w:val="Normal"/>
    <w:semiHidden/>
    <w:rsid w:val="001372B0"/>
    <w:rPr>
      <w:rFonts w:ascii="Tahoma" w:hAnsi="Tahoma" w:cs="Tahoma"/>
      <w:sz w:val="16"/>
      <w:szCs w:val="16"/>
    </w:rPr>
  </w:style>
  <w:style w:type="numbering" w:styleId="111111">
    <w:name w:val="Outline List 2"/>
    <w:basedOn w:val="NoList"/>
    <w:rsid w:val="00E510D6"/>
    <w:pPr>
      <w:numPr>
        <w:numId w:val="2"/>
      </w:numPr>
    </w:pPr>
  </w:style>
  <w:style w:type="numbering" w:customStyle="1" w:styleId="Style1">
    <w:name w:val="Style1"/>
    <w:basedOn w:val="NoList"/>
    <w:rsid w:val="005B2379"/>
    <w:pPr>
      <w:numPr>
        <w:numId w:val="1"/>
      </w:numPr>
    </w:pPr>
  </w:style>
  <w:style w:type="paragraph" w:styleId="NormalWeb">
    <w:name w:val="Normal (Web)"/>
    <w:basedOn w:val="Normal"/>
    <w:rsid w:val="009070A9"/>
    <w:pPr>
      <w:spacing w:before="100" w:beforeAutospacing="1" w:after="100" w:afterAutospacing="1"/>
    </w:pPr>
    <w:rPr>
      <w:rFonts w:ascii="Times New Roman" w:hAnsi="Times New Roman"/>
      <w:szCs w:val="24"/>
      <w:lang w:val="en-US" w:eastAsia="en-US"/>
    </w:rPr>
  </w:style>
  <w:style w:type="character" w:styleId="CommentReference">
    <w:name w:val="annotation reference"/>
    <w:basedOn w:val="DefaultParagraphFont"/>
    <w:uiPriority w:val="99"/>
    <w:semiHidden/>
    <w:rsid w:val="00FC5324"/>
    <w:rPr>
      <w:sz w:val="16"/>
      <w:szCs w:val="16"/>
    </w:rPr>
  </w:style>
  <w:style w:type="paragraph" w:styleId="CommentText">
    <w:name w:val="annotation text"/>
    <w:basedOn w:val="Normal"/>
    <w:semiHidden/>
    <w:rsid w:val="00FC5324"/>
    <w:rPr>
      <w:sz w:val="20"/>
    </w:rPr>
  </w:style>
  <w:style w:type="paragraph" w:styleId="CommentSubject">
    <w:name w:val="annotation subject"/>
    <w:basedOn w:val="CommentText"/>
    <w:next w:val="CommentText"/>
    <w:semiHidden/>
    <w:rsid w:val="00FC5324"/>
    <w:rPr>
      <w:b/>
      <w:bCs/>
    </w:rPr>
  </w:style>
  <w:style w:type="table" w:styleId="TableGrid">
    <w:name w:val="Table Grid"/>
    <w:basedOn w:val="TableNormal"/>
    <w:uiPriority w:val="59"/>
    <w:rsid w:val="0057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7D35"/>
  </w:style>
  <w:style w:type="paragraph" w:styleId="BodyTextIndent3">
    <w:name w:val="Body Text Indent 3"/>
    <w:basedOn w:val="Normal"/>
    <w:rsid w:val="004034C9"/>
    <w:pPr>
      <w:spacing w:after="120"/>
      <w:ind w:left="283"/>
    </w:pPr>
    <w:rPr>
      <w:sz w:val="16"/>
      <w:szCs w:val="16"/>
    </w:rPr>
  </w:style>
  <w:style w:type="paragraph" w:styleId="DocumentMap">
    <w:name w:val="Document Map"/>
    <w:basedOn w:val="Normal"/>
    <w:semiHidden/>
    <w:rsid w:val="000D1C2A"/>
    <w:pPr>
      <w:shd w:val="clear" w:color="auto" w:fill="000080"/>
    </w:pPr>
    <w:rPr>
      <w:rFonts w:ascii="Tahoma" w:hAnsi="Tahoma" w:cs="Tahoma"/>
      <w:sz w:val="20"/>
    </w:rPr>
  </w:style>
  <w:style w:type="character" w:styleId="Hyperlink">
    <w:name w:val="Hyperlink"/>
    <w:basedOn w:val="DefaultParagraphFont"/>
    <w:rsid w:val="00A44142"/>
    <w:rPr>
      <w:color w:val="0000FF"/>
      <w:u w:val="single"/>
    </w:rPr>
  </w:style>
  <w:style w:type="character" w:styleId="Strong">
    <w:name w:val="Strong"/>
    <w:basedOn w:val="DefaultParagraphFont"/>
    <w:qFormat/>
    <w:rsid w:val="003332A9"/>
    <w:rPr>
      <w:b/>
      <w:bCs/>
    </w:rPr>
  </w:style>
  <w:style w:type="paragraph" w:styleId="NoSpacing">
    <w:name w:val="No Spacing"/>
    <w:uiPriority w:val="1"/>
    <w:qFormat/>
    <w:rsid w:val="00854AE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54AE0"/>
    <w:pPr>
      <w:ind w:left="720"/>
      <w:contextualSpacing/>
    </w:pPr>
  </w:style>
  <w:style w:type="character" w:customStyle="1" w:styleId="Heading2Char">
    <w:name w:val="Heading 2 Char"/>
    <w:basedOn w:val="DefaultParagraphFont"/>
    <w:link w:val="Heading2"/>
    <w:semiHidden/>
    <w:rsid w:val="00DB649E"/>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uiPriority w:val="99"/>
    <w:rsid w:val="00DB649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5859">
      <w:bodyDiv w:val="1"/>
      <w:marLeft w:val="0"/>
      <w:marRight w:val="0"/>
      <w:marTop w:val="0"/>
      <w:marBottom w:val="0"/>
      <w:divBdr>
        <w:top w:val="none" w:sz="0" w:space="0" w:color="auto"/>
        <w:left w:val="none" w:sz="0" w:space="0" w:color="auto"/>
        <w:bottom w:val="none" w:sz="0" w:space="0" w:color="auto"/>
        <w:right w:val="none" w:sz="0" w:space="0" w:color="auto"/>
      </w:divBdr>
      <w:divsChild>
        <w:div w:id="623510825">
          <w:marLeft w:val="0"/>
          <w:marRight w:val="0"/>
          <w:marTop w:val="0"/>
          <w:marBottom w:val="0"/>
          <w:divBdr>
            <w:top w:val="none" w:sz="0" w:space="0" w:color="auto"/>
            <w:left w:val="none" w:sz="0" w:space="0" w:color="auto"/>
            <w:bottom w:val="none" w:sz="0" w:space="0" w:color="auto"/>
            <w:right w:val="none" w:sz="0" w:space="0" w:color="auto"/>
          </w:divBdr>
          <w:divsChild>
            <w:div w:id="1254128830">
              <w:marLeft w:val="0"/>
              <w:marRight w:val="0"/>
              <w:marTop w:val="0"/>
              <w:marBottom w:val="0"/>
              <w:divBdr>
                <w:top w:val="none" w:sz="0" w:space="0" w:color="auto"/>
                <w:left w:val="none" w:sz="0" w:space="0" w:color="auto"/>
                <w:bottom w:val="none" w:sz="0" w:space="0" w:color="auto"/>
                <w:right w:val="none" w:sz="0" w:space="0" w:color="auto"/>
              </w:divBdr>
              <w:divsChild>
                <w:div w:id="18353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468">
      <w:bodyDiv w:val="1"/>
      <w:marLeft w:val="0"/>
      <w:marRight w:val="0"/>
      <w:marTop w:val="0"/>
      <w:marBottom w:val="0"/>
      <w:divBdr>
        <w:top w:val="none" w:sz="0" w:space="0" w:color="auto"/>
        <w:left w:val="none" w:sz="0" w:space="0" w:color="auto"/>
        <w:bottom w:val="none" w:sz="0" w:space="0" w:color="auto"/>
        <w:right w:val="none" w:sz="0" w:space="0" w:color="auto"/>
      </w:divBdr>
    </w:div>
    <w:div w:id="364058191">
      <w:bodyDiv w:val="1"/>
      <w:marLeft w:val="0"/>
      <w:marRight w:val="0"/>
      <w:marTop w:val="0"/>
      <w:marBottom w:val="0"/>
      <w:divBdr>
        <w:top w:val="none" w:sz="0" w:space="0" w:color="auto"/>
        <w:left w:val="none" w:sz="0" w:space="0" w:color="auto"/>
        <w:bottom w:val="none" w:sz="0" w:space="0" w:color="auto"/>
        <w:right w:val="none" w:sz="0" w:space="0" w:color="auto"/>
      </w:divBdr>
      <w:divsChild>
        <w:div w:id="1028681803">
          <w:marLeft w:val="0"/>
          <w:marRight w:val="0"/>
          <w:marTop w:val="0"/>
          <w:marBottom w:val="0"/>
          <w:divBdr>
            <w:top w:val="none" w:sz="0" w:space="0" w:color="auto"/>
            <w:left w:val="none" w:sz="0" w:space="0" w:color="auto"/>
            <w:bottom w:val="none" w:sz="0" w:space="0" w:color="auto"/>
            <w:right w:val="none" w:sz="0" w:space="0" w:color="auto"/>
          </w:divBdr>
          <w:divsChild>
            <w:div w:id="13475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261">
      <w:bodyDiv w:val="1"/>
      <w:marLeft w:val="0"/>
      <w:marRight w:val="0"/>
      <w:marTop w:val="0"/>
      <w:marBottom w:val="0"/>
      <w:divBdr>
        <w:top w:val="none" w:sz="0" w:space="0" w:color="auto"/>
        <w:left w:val="none" w:sz="0" w:space="0" w:color="auto"/>
        <w:bottom w:val="none" w:sz="0" w:space="0" w:color="auto"/>
        <w:right w:val="none" w:sz="0" w:space="0" w:color="auto"/>
      </w:divBdr>
      <w:divsChild>
        <w:div w:id="77027018">
          <w:marLeft w:val="0"/>
          <w:marRight w:val="0"/>
          <w:marTop w:val="0"/>
          <w:marBottom w:val="0"/>
          <w:divBdr>
            <w:top w:val="none" w:sz="0" w:space="0" w:color="auto"/>
            <w:left w:val="none" w:sz="0" w:space="0" w:color="auto"/>
            <w:bottom w:val="none" w:sz="0" w:space="0" w:color="auto"/>
            <w:right w:val="none" w:sz="0" w:space="0" w:color="auto"/>
          </w:divBdr>
          <w:divsChild>
            <w:div w:id="829249889">
              <w:marLeft w:val="0"/>
              <w:marRight w:val="0"/>
              <w:marTop w:val="0"/>
              <w:marBottom w:val="0"/>
              <w:divBdr>
                <w:top w:val="none" w:sz="0" w:space="0" w:color="auto"/>
                <w:left w:val="none" w:sz="0" w:space="0" w:color="auto"/>
                <w:bottom w:val="none" w:sz="0" w:space="0" w:color="auto"/>
                <w:right w:val="none" w:sz="0" w:space="0" w:color="auto"/>
              </w:divBdr>
              <w:divsChild>
                <w:div w:id="728114243">
                  <w:marLeft w:val="0"/>
                  <w:marRight w:val="0"/>
                  <w:marTop w:val="0"/>
                  <w:marBottom w:val="0"/>
                  <w:divBdr>
                    <w:top w:val="none" w:sz="0" w:space="0" w:color="auto"/>
                    <w:left w:val="none" w:sz="0" w:space="0" w:color="auto"/>
                    <w:bottom w:val="none" w:sz="0" w:space="0" w:color="auto"/>
                    <w:right w:val="none" w:sz="0" w:space="0" w:color="auto"/>
                  </w:divBdr>
                  <w:divsChild>
                    <w:div w:id="962732783">
                      <w:marLeft w:val="0"/>
                      <w:marRight w:val="0"/>
                      <w:marTop w:val="0"/>
                      <w:marBottom w:val="0"/>
                      <w:divBdr>
                        <w:top w:val="none" w:sz="0" w:space="0" w:color="auto"/>
                        <w:left w:val="none" w:sz="0" w:space="0" w:color="auto"/>
                        <w:bottom w:val="none" w:sz="0" w:space="0" w:color="auto"/>
                        <w:right w:val="none" w:sz="0" w:space="0" w:color="auto"/>
                      </w:divBdr>
                      <w:divsChild>
                        <w:div w:id="2619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090343">
      <w:bodyDiv w:val="1"/>
      <w:marLeft w:val="0"/>
      <w:marRight w:val="0"/>
      <w:marTop w:val="0"/>
      <w:marBottom w:val="0"/>
      <w:divBdr>
        <w:top w:val="none" w:sz="0" w:space="0" w:color="auto"/>
        <w:left w:val="none" w:sz="0" w:space="0" w:color="auto"/>
        <w:bottom w:val="none" w:sz="0" w:space="0" w:color="auto"/>
        <w:right w:val="none" w:sz="0" w:space="0" w:color="auto"/>
      </w:divBdr>
    </w:div>
    <w:div w:id="836656881">
      <w:bodyDiv w:val="1"/>
      <w:marLeft w:val="0"/>
      <w:marRight w:val="0"/>
      <w:marTop w:val="0"/>
      <w:marBottom w:val="0"/>
      <w:divBdr>
        <w:top w:val="none" w:sz="0" w:space="0" w:color="auto"/>
        <w:left w:val="none" w:sz="0" w:space="0" w:color="auto"/>
        <w:bottom w:val="none" w:sz="0" w:space="0" w:color="auto"/>
        <w:right w:val="none" w:sz="0" w:space="0" w:color="auto"/>
      </w:divBdr>
    </w:div>
    <w:div w:id="1126777157">
      <w:bodyDiv w:val="1"/>
      <w:marLeft w:val="0"/>
      <w:marRight w:val="0"/>
      <w:marTop w:val="0"/>
      <w:marBottom w:val="0"/>
      <w:divBdr>
        <w:top w:val="none" w:sz="0" w:space="0" w:color="auto"/>
        <w:left w:val="none" w:sz="0" w:space="0" w:color="auto"/>
        <w:bottom w:val="none" w:sz="0" w:space="0" w:color="auto"/>
        <w:right w:val="none" w:sz="0" w:space="0" w:color="auto"/>
      </w:divBdr>
    </w:div>
    <w:div w:id="1402481326">
      <w:bodyDiv w:val="1"/>
      <w:marLeft w:val="0"/>
      <w:marRight w:val="0"/>
      <w:marTop w:val="0"/>
      <w:marBottom w:val="0"/>
      <w:divBdr>
        <w:top w:val="none" w:sz="0" w:space="0" w:color="auto"/>
        <w:left w:val="none" w:sz="0" w:space="0" w:color="auto"/>
        <w:bottom w:val="none" w:sz="0" w:space="0" w:color="auto"/>
        <w:right w:val="none" w:sz="0" w:space="0" w:color="auto"/>
      </w:divBdr>
    </w:div>
    <w:div w:id="1707868563">
      <w:bodyDiv w:val="1"/>
      <w:marLeft w:val="0"/>
      <w:marRight w:val="0"/>
      <w:marTop w:val="0"/>
      <w:marBottom w:val="0"/>
      <w:divBdr>
        <w:top w:val="none" w:sz="0" w:space="0" w:color="auto"/>
        <w:left w:val="none" w:sz="0" w:space="0" w:color="auto"/>
        <w:bottom w:val="none" w:sz="0" w:space="0" w:color="auto"/>
        <w:right w:val="none" w:sz="0" w:space="0" w:color="auto"/>
      </w:divBdr>
    </w:div>
    <w:div w:id="1824463260">
      <w:bodyDiv w:val="1"/>
      <w:marLeft w:val="60"/>
      <w:marRight w:val="60"/>
      <w:marTop w:val="60"/>
      <w:marBottom w:val="15"/>
      <w:divBdr>
        <w:top w:val="none" w:sz="0" w:space="0" w:color="auto"/>
        <w:left w:val="none" w:sz="0" w:space="0" w:color="auto"/>
        <w:bottom w:val="none" w:sz="0" w:space="0" w:color="auto"/>
        <w:right w:val="none" w:sz="0" w:space="0" w:color="auto"/>
      </w:divBdr>
      <w:divsChild>
        <w:div w:id="670503">
          <w:marLeft w:val="0"/>
          <w:marRight w:val="0"/>
          <w:marTop w:val="0"/>
          <w:marBottom w:val="0"/>
          <w:divBdr>
            <w:top w:val="none" w:sz="0" w:space="0" w:color="auto"/>
            <w:left w:val="none" w:sz="0" w:space="0" w:color="auto"/>
            <w:bottom w:val="none" w:sz="0" w:space="0" w:color="auto"/>
            <w:right w:val="none" w:sz="0" w:space="0" w:color="auto"/>
          </w:divBdr>
        </w:div>
        <w:div w:id="78332294">
          <w:marLeft w:val="0"/>
          <w:marRight w:val="0"/>
          <w:marTop w:val="0"/>
          <w:marBottom w:val="0"/>
          <w:divBdr>
            <w:top w:val="none" w:sz="0" w:space="0" w:color="auto"/>
            <w:left w:val="none" w:sz="0" w:space="0" w:color="auto"/>
            <w:bottom w:val="none" w:sz="0" w:space="0" w:color="auto"/>
            <w:right w:val="none" w:sz="0" w:space="0" w:color="auto"/>
          </w:divBdr>
        </w:div>
        <w:div w:id="809713130">
          <w:marLeft w:val="0"/>
          <w:marRight w:val="0"/>
          <w:marTop w:val="0"/>
          <w:marBottom w:val="0"/>
          <w:divBdr>
            <w:top w:val="none" w:sz="0" w:space="0" w:color="auto"/>
            <w:left w:val="none" w:sz="0" w:space="0" w:color="auto"/>
            <w:bottom w:val="none" w:sz="0" w:space="0" w:color="auto"/>
            <w:right w:val="none" w:sz="0" w:space="0" w:color="auto"/>
          </w:divBdr>
        </w:div>
        <w:div w:id="1031762093">
          <w:marLeft w:val="0"/>
          <w:marRight w:val="0"/>
          <w:marTop w:val="0"/>
          <w:marBottom w:val="0"/>
          <w:divBdr>
            <w:top w:val="none" w:sz="0" w:space="0" w:color="auto"/>
            <w:left w:val="none" w:sz="0" w:space="0" w:color="auto"/>
            <w:bottom w:val="none" w:sz="0" w:space="0" w:color="auto"/>
            <w:right w:val="none" w:sz="0" w:space="0" w:color="auto"/>
          </w:divBdr>
        </w:div>
        <w:div w:id="1138914378">
          <w:marLeft w:val="0"/>
          <w:marRight w:val="0"/>
          <w:marTop w:val="0"/>
          <w:marBottom w:val="0"/>
          <w:divBdr>
            <w:top w:val="none" w:sz="0" w:space="0" w:color="auto"/>
            <w:left w:val="none" w:sz="0" w:space="0" w:color="auto"/>
            <w:bottom w:val="none" w:sz="0" w:space="0" w:color="auto"/>
            <w:right w:val="none" w:sz="0" w:space="0" w:color="auto"/>
          </w:divBdr>
        </w:div>
        <w:div w:id="1222785718">
          <w:marLeft w:val="0"/>
          <w:marRight w:val="0"/>
          <w:marTop w:val="0"/>
          <w:marBottom w:val="0"/>
          <w:divBdr>
            <w:top w:val="none" w:sz="0" w:space="0" w:color="auto"/>
            <w:left w:val="none" w:sz="0" w:space="0" w:color="auto"/>
            <w:bottom w:val="none" w:sz="0" w:space="0" w:color="auto"/>
            <w:right w:val="none" w:sz="0" w:space="0" w:color="auto"/>
          </w:divBdr>
        </w:div>
        <w:div w:id="1337996647">
          <w:marLeft w:val="0"/>
          <w:marRight w:val="0"/>
          <w:marTop w:val="0"/>
          <w:marBottom w:val="0"/>
          <w:divBdr>
            <w:top w:val="none" w:sz="0" w:space="0" w:color="auto"/>
            <w:left w:val="none" w:sz="0" w:space="0" w:color="auto"/>
            <w:bottom w:val="none" w:sz="0" w:space="0" w:color="auto"/>
            <w:right w:val="none" w:sz="0" w:space="0" w:color="auto"/>
          </w:divBdr>
        </w:div>
        <w:div w:id="1366982303">
          <w:marLeft w:val="0"/>
          <w:marRight w:val="0"/>
          <w:marTop w:val="0"/>
          <w:marBottom w:val="0"/>
          <w:divBdr>
            <w:top w:val="none" w:sz="0" w:space="0" w:color="auto"/>
            <w:left w:val="none" w:sz="0" w:space="0" w:color="auto"/>
            <w:bottom w:val="none" w:sz="0" w:space="0" w:color="auto"/>
            <w:right w:val="none" w:sz="0" w:space="0" w:color="auto"/>
          </w:divBdr>
        </w:div>
        <w:div w:id="1404109589">
          <w:marLeft w:val="0"/>
          <w:marRight w:val="0"/>
          <w:marTop w:val="0"/>
          <w:marBottom w:val="0"/>
          <w:divBdr>
            <w:top w:val="none" w:sz="0" w:space="0" w:color="auto"/>
            <w:left w:val="none" w:sz="0" w:space="0" w:color="auto"/>
            <w:bottom w:val="none" w:sz="0" w:space="0" w:color="auto"/>
            <w:right w:val="none" w:sz="0" w:space="0" w:color="auto"/>
          </w:divBdr>
        </w:div>
        <w:div w:id="1404840314">
          <w:marLeft w:val="0"/>
          <w:marRight w:val="0"/>
          <w:marTop w:val="0"/>
          <w:marBottom w:val="0"/>
          <w:divBdr>
            <w:top w:val="none" w:sz="0" w:space="0" w:color="auto"/>
            <w:left w:val="none" w:sz="0" w:space="0" w:color="auto"/>
            <w:bottom w:val="none" w:sz="0" w:space="0" w:color="auto"/>
            <w:right w:val="none" w:sz="0" w:space="0" w:color="auto"/>
          </w:divBdr>
        </w:div>
        <w:div w:id="1423453790">
          <w:marLeft w:val="0"/>
          <w:marRight w:val="0"/>
          <w:marTop w:val="0"/>
          <w:marBottom w:val="0"/>
          <w:divBdr>
            <w:top w:val="none" w:sz="0" w:space="0" w:color="auto"/>
            <w:left w:val="none" w:sz="0" w:space="0" w:color="auto"/>
            <w:bottom w:val="none" w:sz="0" w:space="0" w:color="auto"/>
            <w:right w:val="none" w:sz="0" w:space="0" w:color="auto"/>
          </w:divBdr>
        </w:div>
        <w:div w:id="1431975693">
          <w:marLeft w:val="0"/>
          <w:marRight w:val="0"/>
          <w:marTop w:val="0"/>
          <w:marBottom w:val="0"/>
          <w:divBdr>
            <w:top w:val="none" w:sz="0" w:space="0" w:color="auto"/>
            <w:left w:val="none" w:sz="0" w:space="0" w:color="auto"/>
            <w:bottom w:val="none" w:sz="0" w:space="0" w:color="auto"/>
            <w:right w:val="none" w:sz="0" w:space="0" w:color="auto"/>
          </w:divBdr>
        </w:div>
        <w:div w:id="1482887613">
          <w:marLeft w:val="0"/>
          <w:marRight w:val="0"/>
          <w:marTop w:val="0"/>
          <w:marBottom w:val="0"/>
          <w:divBdr>
            <w:top w:val="none" w:sz="0" w:space="0" w:color="auto"/>
            <w:left w:val="none" w:sz="0" w:space="0" w:color="auto"/>
            <w:bottom w:val="none" w:sz="0" w:space="0" w:color="auto"/>
            <w:right w:val="none" w:sz="0" w:space="0" w:color="auto"/>
          </w:divBdr>
        </w:div>
        <w:div w:id="1498182349">
          <w:marLeft w:val="0"/>
          <w:marRight w:val="0"/>
          <w:marTop w:val="0"/>
          <w:marBottom w:val="0"/>
          <w:divBdr>
            <w:top w:val="none" w:sz="0" w:space="0" w:color="auto"/>
            <w:left w:val="none" w:sz="0" w:space="0" w:color="auto"/>
            <w:bottom w:val="none" w:sz="0" w:space="0" w:color="auto"/>
            <w:right w:val="none" w:sz="0" w:space="0" w:color="auto"/>
          </w:divBdr>
        </w:div>
        <w:div w:id="1963263762">
          <w:marLeft w:val="0"/>
          <w:marRight w:val="0"/>
          <w:marTop w:val="0"/>
          <w:marBottom w:val="0"/>
          <w:divBdr>
            <w:top w:val="none" w:sz="0" w:space="0" w:color="auto"/>
            <w:left w:val="none" w:sz="0" w:space="0" w:color="auto"/>
            <w:bottom w:val="none" w:sz="0" w:space="0" w:color="auto"/>
            <w:right w:val="none" w:sz="0" w:space="0" w:color="auto"/>
          </w:divBdr>
        </w:div>
      </w:divsChild>
    </w:div>
    <w:div w:id="1885868338">
      <w:bodyDiv w:val="1"/>
      <w:marLeft w:val="0"/>
      <w:marRight w:val="0"/>
      <w:marTop w:val="0"/>
      <w:marBottom w:val="0"/>
      <w:divBdr>
        <w:top w:val="none" w:sz="0" w:space="0" w:color="auto"/>
        <w:left w:val="none" w:sz="0" w:space="0" w:color="auto"/>
        <w:bottom w:val="none" w:sz="0" w:space="0" w:color="auto"/>
        <w:right w:val="none" w:sz="0" w:space="0" w:color="auto"/>
      </w:divBdr>
      <w:divsChild>
        <w:div w:id="1666974636">
          <w:marLeft w:val="0"/>
          <w:marRight w:val="0"/>
          <w:marTop w:val="0"/>
          <w:marBottom w:val="0"/>
          <w:divBdr>
            <w:top w:val="none" w:sz="0" w:space="0" w:color="auto"/>
            <w:left w:val="none" w:sz="0" w:space="0" w:color="auto"/>
            <w:bottom w:val="none" w:sz="0" w:space="0" w:color="auto"/>
            <w:right w:val="none" w:sz="0" w:space="0" w:color="auto"/>
          </w:divBdr>
          <w:divsChild>
            <w:div w:id="756248800">
              <w:marLeft w:val="0"/>
              <w:marRight w:val="0"/>
              <w:marTop w:val="0"/>
              <w:marBottom w:val="0"/>
              <w:divBdr>
                <w:top w:val="none" w:sz="0" w:space="0" w:color="auto"/>
                <w:left w:val="none" w:sz="0" w:space="0" w:color="auto"/>
                <w:bottom w:val="none" w:sz="0" w:space="0" w:color="auto"/>
                <w:right w:val="none" w:sz="0" w:space="0" w:color="auto"/>
              </w:divBdr>
              <w:divsChild>
                <w:div w:id="1209149254">
                  <w:marLeft w:val="0"/>
                  <w:marRight w:val="0"/>
                  <w:marTop w:val="0"/>
                  <w:marBottom w:val="0"/>
                  <w:divBdr>
                    <w:top w:val="none" w:sz="0" w:space="0" w:color="auto"/>
                    <w:left w:val="none" w:sz="0" w:space="0" w:color="auto"/>
                    <w:bottom w:val="none" w:sz="0" w:space="0" w:color="auto"/>
                    <w:right w:val="none" w:sz="0" w:space="0" w:color="auto"/>
                  </w:divBdr>
                  <w:divsChild>
                    <w:div w:id="253171542">
                      <w:marLeft w:val="0"/>
                      <w:marRight w:val="0"/>
                      <w:marTop w:val="0"/>
                      <w:marBottom w:val="0"/>
                      <w:divBdr>
                        <w:top w:val="none" w:sz="0" w:space="0" w:color="auto"/>
                        <w:left w:val="none" w:sz="0" w:space="0" w:color="auto"/>
                        <w:bottom w:val="none" w:sz="0" w:space="0" w:color="auto"/>
                        <w:right w:val="none" w:sz="0" w:space="0" w:color="auto"/>
                      </w:divBdr>
                      <w:divsChild>
                        <w:div w:id="10149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Effective_x0020_date xmlns="fd19a78a-7378-419e-8463-6656762384a1">2022-02-18T00:00:00+00:00</Effective_x0020_date>
    <Archive xmlns="fd19a78a-7378-419e-8463-6656762384a1">false</Archive>
    <Review_x0020_Date xmlns="fd19a78a-7378-419e-8463-6656762384a1">2024-02-18T00:00:00+00:00</Review_x0020_Date>
    <Category xmlns="fd19a78a-7378-419e-8463-6656762384a1">Lettings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86684FE66E8409CEBCF249AFD9C10" ma:contentTypeVersion="4" ma:contentTypeDescription="Create a new document." ma:contentTypeScope="" ma:versionID="a0e36e98ee8c336473a30827a7fd2f82">
  <xsd:schema xmlns:xsd="http://www.w3.org/2001/XMLSchema" xmlns:xs="http://www.w3.org/2001/XMLSchema" xmlns:p="http://schemas.microsoft.com/office/2006/metadata/properties" xmlns:ns2="fd19a78a-7378-419e-8463-6656762384a1" targetNamespace="http://schemas.microsoft.com/office/2006/metadata/properties" ma:root="true" ma:fieldsID="25623f6397759c6b60b0d9d128c7cbe2" ns2:_="">
    <xsd:import namespace="fd19a78a-7378-419e-8463-6656762384a1"/>
    <xsd:element name="properties">
      <xsd:complexType>
        <xsd:sequence>
          <xsd:element name="documentManagement">
            <xsd:complexType>
              <xsd:all>
                <xsd:element ref="ns2:Archive" minOccurs="0"/>
                <xsd:element ref="ns2:Category" minOccurs="0"/>
                <xsd:element ref="ns2:Effective_x0020_date"/>
                <xsd:element ref="ns2:Review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9a78a-7378-419e-8463-6656762384a1" elementFormDefault="qualified">
    <xsd:import namespace="http://schemas.microsoft.com/office/2006/documentManagement/types"/>
    <xsd:import namespace="http://schemas.microsoft.com/office/infopath/2007/PartnerControls"/>
    <xsd:element name="Archive" ma:index="2" nillable="true" ma:displayName="Archive" ma:default="0" ma:internalName="Archive">
      <xsd:simpleType>
        <xsd:restriction base="dms:Boolean"/>
      </xsd:simpleType>
    </xsd:element>
    <xsd:element name="Category" ma:index="3" nillable="true" ma:displayName="Category" ma:format="Dropdown" ma:internalName="Category">
      <xsd:simpleType>
        <xsd:restriction base="dms:Choice">
          <xsd:enumeration value="ASB"/>
          <xsd:enumeration value="General"/>
          <xsd:enumeration value="Income Management"/>
          <xsd:enumeration value="Lettings"/>
          <xsd:enumeration value="Neighbourhood management"/>
          <xsd:enumeration value="Tenancy Management"/>
        </xsd:restriction>
      </xsd:simpleType>
    </xsd:element>
    <xsd:element name="Effective_x0020_date" ma:index="4" ma:displayName="Effective date" ma:format="DateOnly" ma:internalName="Effective_x0020_date">
      <xsd:simpleType>
        <xsd:restriction base="dms:DateTime"/>
      </xsd:simpleType>
    </xsd:element>
    <xsd:element name="Review_x0020_Date" ma:index="5"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2F5FA-F32A-4E21-A8B1-13326435B4AD}">
  <ds:schemaRefs>
    <ds:schemaRef ds:uri="http://schemas.microsoft.com/sharepoint/v3/contenttype/forms"/>
  </ds:schemaRefs>
</ds:datastoreItem>
</file>

<file path=customXml/itemProps2.xml><?xml version="1.0" encoding="utf-8"?>
<ds:datastoreItem xmlns:ds="http://schemas.openxmlformats.org/officeDocument/2006/customXml" ds:itemID="{FFF47BEB-47E6-4434-AA76-9A0F33C477D8}">
  <ds:schemaRefs>
    <ds:schemaRef ds:uri="http://schemas.openxmlformats.org/officeDocument/2006/bibliography"/>
  </ds:schemaRefs>
</ds:datastoreItem>
</file>

<file path=customXml/itemProps3.xml><?xml version="1.0" encoding="utf-8"?>
<ds:datastoreItem xmlns:ds="http://schemas.openxmlformats.org/officeDocument/2006/customXml" ds:itemID="{BD28DCA5-DC43-454A-9223-CE9915B246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fd19a78a-7378-419e-8463-6656762384a1"/>
  </ds:schemaRefs>
</ds:datastoreItem>
</file>

<file path=customXml/itemProps4.xml><?xml version="1.0" encoding="utf-8"?>
<ds:datastoreItem xmlns:ds="http://schemas.openxmlformats.org/officeDocument/2006/customXml" ds:itemID="{E3E12A96-4200-4693-A3C1-12789759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9a78a-7378-419e-8463-665676238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LEEDS FEDERATED HOUSING ASSOCIATION LTD</vt:lpstr>
    </vt:vector>
  </TitlesOfParts>
  <Company>LFHA Ltd</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Lettings Policy Wakefield and district outliers</dc:title>
  <dc:creator>mwalker</dc:creator>
  <cp:lastModifiedBy>John Hardiman</cp:lastModifiedBy>
  <cp:revision>2</cp:revision>
  <cp:lastPrinted>2010-03-23T11:48:00Z</cp:lastPrinted>
  <dcterms:created xsi:type="dcterms:W3CDTF">2022-02-18T12:44:00Z</dcterms:created>
  <dcterms:modified xsi:type="dcterms:W3CDTF">2022-02-18T12:44:00Z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ContentType">
    <vt:lpwstr>Document</vt:lpwstr>
  </property>
  <property fmtid="{D5CDD505-2E9C-101B-9397-08002B2CF9AE}" pid="4" name="Order">
    <vt:r8>15900</vt:r8>
  </property>
  <property fmtid="{D5CDD505-2E9C-101B-9397-08002B2CF9AE}" pid="5" name="ContentTypeId">
    <vt:lpwstr>0x010100DB186684FE66E8409CEBCF249AFD9C10</vt:lpwstr>
  </property>
  <property fmtid="{D5CDD505-2E9C-101B-9397-08002B2CF9AE}" pid="6" name="Meeting date">
    <vt:lpwstr>2013-01-30T00:00:00+00:00</vt:lpwstr>
  </property>
  <property fmtid="{D5CDD505-2E9C-101B-9397-08002B2CF9AE}" pid="7" name="Item No.">
    <vt:lpwstr>3.6</vt:lpwstr>
  </property>
  <property fmtid="{D5CDD505-2E9C-101B-9397-08002B2CF9AE}" pid="8" name="Meeting">
    <vt:lpwstr>Board</vt:lpwstr>
  </property>
  <property fmtid="{D5CDD505-2E9C-101B-9397-08002B2CF9AE}" pid="9" name="Status">
    <vt:lpwstr>Final</vt:lpwstr>
  </property>
  <property fmtid="{D5CDD505-2E9C-101B-9397-08002B2CF9AE}" pid="10" name="Fin Year">
    <vt:lpwstr>2013/14</vt:lpwstr>
  </property>
</Properties>
</file>